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64890">
      <w:pPr>
        <w:ind w:firstLine="560"/>
        <w:jc w:val="center"/>
        <w:rPr>
          <w:rFonts w:hint="eastAsia" w:ascii="宋体" w:hAnsi="宋体" w:eastAsia="宋体" w:cs="宋体"/>
          <w:b/>
          <w:bCs/>
          <w:sz w:val="28"/>
          <w:szCs w:val="28"/>
          <w:u w:val="single"/>
        </w:rPr>
      </w:pPr>
    </w:p>
    <w:p w14:paraId="2593D8F2">
      <w:pPr>
        <w:ind w:firstLine="560"/>
        <w:jc w:val="center"/>
        <w:rPr>
          <w:rFonts w:hint="eastAsia" w:ascii="宋体" w:hAnsi="宋体" w:eastAsia="宋体" w:cs="宋体"/>
          <w:b/>
          <w:bCs/>
          <w:sz w:val="28"/>
          <w:szCs w:val="28"/>
          <w:u w:val="single"/>
        </w:rPr>
      </w:pPr>
    </w:p>
    <w:p w14:paraId="675533BB">
      <w:pPr>
        <w:ind w:firstLine="560"/>
        <w:jc w:val="center"/>
        <w:rPr>
          <w:rFonts w:hint="eastAsia" w:ascii="宋体" w:hAnsi="宋体" w:eastAsia="宋体" w:cs="宋体"/>
          <w:b/>
          <w:bCs/>
          <w:sz w:val="36"/>
          <w:szCs w:val="28"/>
        </w:rPr>
      </w:pPr>
      <w:r>
        <w:rPr>
          <w:rFonts w:hint="eastAsia" w:ascii="宋体" w:hAnsi="宋体" w:eastAsia="宋体" w:cs="宋体"/>
          <w:b/>
          <w:bCs/>
          <w:sz w:val="36"/>
          <w:szCs w:val="28"/>
        </w:rPr>
        <w:t>202</w:t>
      </w:r>
      <w:r>
        <w:rPr>
          <w:rFonts w:hint="eastAsia" w:ascii="宋体" w:hAnsi="宋体" w:eastAsia="宋体" w:cs="宋体"/>
          <w:b/>
          <w:bCs/>
          <w:sz w:val="36"/>
          <w:szCs w:val="28"/>
          <w:lang w:val="en-US" w:eastAsia="zh-CN"/>
        </w:rPr>
        <w:t>6</w:t>
      </w:r>
      <w:r>
        <w:rPr>
          <w:rFonts w:hint="eastAsia" w:ascii="宋体" w:hAnsi="宋体" w:eastAsia="宋体" w:cs="宋体"/>
          <w:b/>
          <w:bCs/>
          <w:sz w:val="36"/>
          <w:szCs w:val="28"/>
        </w:rPr>
        <w:t>年中粮集团黑吉辽蒙区域汽运物流集采项目</w:t>
      </w:r>
    </w:p>
    <w:p w14:paraId="0EAF427F">
      <w:pPr>
        <w:ind w:firstLine="560"/>
        <w:jc w:val="center"/>
        <w:rPr>
          <w:rFonts w:hint="eastAsia" w:ascii="宋体" w:hAnsi="宋体" w:eastAsia="宋体" w:cs="宋体"/>
          <w:b/>
          <w:bCs/>
          <w:sz w:val="28"/>
        </w:rPr>
      </w:pPr>
    </w:p>
    <w:p w14:paraId="5D1918F4">
      <w:pPr>
        <w:ind w:firstLine="560"/>
        <w:jc w:val="center"/>
        <w:rPr>
          <w:rFonts w:hint="eastAsia" w:ascii="宋体" w:hAnsi="宋体" w:eastAsia="宋体" w:cs="宋体"/>
          <w:b/>
          <w:bCs/>
          <w:sz w:val="28"/>
        </w:rPr>
      </w:pPr>
    </w:p>
    <w:p w14:paraId="5F27A0BB">
      <w:pPr>
        <w:ind w:firstLine="880"/>
        <w:jc w:val="center"/>
        <w:rPr>
          <w:rFonts w:hint="eastAsia" w:ascii="宋体" w:hAnsi="宋体" w:eastAsia="宋体" w:cs="宋体"/>
          <w:b/>
          <w:bCs/>
          <w:sz w:val="44"/>
        </w:rPr>
      </w:pPr>
      <w:r>
        <w:rPr>
          <w:rFonts w:hint="eastAsia" w:ascii="宋体" w:hAnsi="宋体" w:eastAsia="宋体" w:cs="宋体"/>
          <w:b/>
          <w:bCs/>
          <w:sz w:val="44"/>
          <w:lang w:val="en-US" w:eastAsia="zh-CN"/>
        </w:rPr>
        <w:t>资格</w:t>
      </w:r>
      <w:r>
        <w:rPr>
          <w:rFonts w:hint="eastAsia" w:ascii="宋体" w:hAnsi="宋体" w:eastAsia="宋体" w:cs="宋体"/>
          <w:b/>
          <w:bCs/>
          <w:sz w:val="44"/>
        </w:rPr>
        <w:t>审查文件</w:t>
      </w:r>
    </w:p>
    <w:p w14:paraId="60A89E68">
      <w:pPr>
        <w:ind w:firstLine="880"/>
        <w:jc w:val="center"/>
        <w:rPr>
          <w:rFonts w:hint="eastAsia" w:ascii="宋体" w:hAnsi="宋体" w:eastAsia="宋体" w:cs="宋体"/>
          <w:b/>
          <w:bCs/>
          <w:sz w:val="44"/>
          <w:lang w:val="en-US" w:eastAsia="zh-CN"/>
        </w:rPr>
      </w:pPr>
    </w:p>
    <w:p w14:paraId="0265C472">
      <w:pPr>
        <w:ind w:firstLine="880"/>
        <w:jc w:val="center"/>
        <w:rPr>
          <w:rFonts w:hint="eastAsia" w:ascii="宋体" w:hAnsi="宋体" w:eastAsia="宋体" w:cs="宋体"/>
          <w:b/>
          <w:bCs/>
          <w:sz w:val="44"/>
          <w:lang w:val="en-US" w:eastAsia="zh-CN"/>
        </w:rPr>
      </w:pPr>
    </w:p>
    <w:p w14:paraId="54725B51">
      <w:pPr>
        <w:ind w:firstLine="1989" w:firstLineChars="619"/>
        <w:jc w:val="both"/>
        <w:rPr>
          <w:rFonts w:hint="eastAsia" w:ascii="宋体" w:hAnsi="宋体" w:eastAsia="宋体" w:cs="宋体"/>
          <w:b/>
          <w:bCs/>
          <w:sz w:val="32"/>
          <w:szCs w:val="18"/>
          <w:u w:val="single"/>
          <w:lang w:val="en-US" w:eastAsia="zh-CN"/>
        </w:rPr>
      </w:pPr>
      <w:r>
        <w:rPr>
          <w:rFonts w:hint="eastAsia" w:ascii="宋体" w:hAnsi="宋体" w:eastAsia="宋体" w:cs="宋体"/>
          <w:b/>
          <w:bCs/>
          <w:sz w:val="32"/>
          <w:szCs w:val="18"/>
          <w:lang w:val="en-US" w:eastAsia="zh-CN"/>
        </w:rPr>
        <w:t>参与采购包号</w:t>
      </w:r>
      <w:r>
        <w:rPr>
          <w:rFonts w:hint="eastAsia" w:ascii="宋体" w:hAnsi="宋体" w:eastAsia="宋体" w:cs="宋体"/>
          <w:b/>
          <w:bCs/>
          <w:sz w:val="32"/>
          <w:szCs w:val="18"/>
          <w:u w:val="single"/>
          <w:lang w:val="en-US" w:eastAsia="zh-CN"/>
        </w:rPr>
        <w:t xml:space="preserve">                      </w:t>
      </w:r>
    </w:p>
    <w:p w14:paraId="62194FD3">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宋体" w:hAnsi="宋体" w:eastAsia="宋体" w:cs="宋体"/>
          <w:b/>
          <w:bCs/>
          <w:sz w:val="24"/>
          <w:szCs w:val="21"/>
          <w:highlight w:val="yellow"/>
          <w:lang w:val="en-US" w:eastAsia="zh-CN"/>
        </w:rPr>
      </w:pPr>
      <w:bookmarkStart w:id="20" w:name="_GoBack"/>
      <w:r>
        <w:rPr>
          <w:rFonts w:hint="eastAsia" w:ascii="宋体" w:hAnsi="宋体" w:eastAsia="宋体" w:cs="宋体"/>
          <w:b/>
          <w:bCs/>
          <w:sz w:val="24"/>
          <w:szCs w:val="21"/>
          <w:highlight w:val="yellow"/>
          <w:lang w:val="en-US" w:eastAsia="zh-CN"/>
        </w:rPr>
        <w:t>注：（供应商制作时可删除本注释）</w:t>
      </w:r>
    </w:p>
    <w:p w14:paraId="0D032B00">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宋体" w:hAnsi="宋体" w:eastAsia="宋体" w:cs="宋体"/>
          <w:b/>
          <w:bCs/>
          <w:sz w:val="24"/>
          <w:szCs w:val="21"/>
          <w:highlight w:val="yellow"/>
          <w:lang w:val="en-US" w:eastAsia="zh-CN"/>
        </w:rPr>
      </w:pPr>
      <w:r>
        <w:rPr>
          <w:rFonts w:hint="eastAsia" w:ascii="宋体" w:hAnsi="宋体" w:eastAsia="宋体" w:cs="宋体"/>
          <w:b/>
          <w:bCs/>
          <w:sz w:val="24"/>
          <w:szCs w:val="21"/>
          <w:highlight w:val="yellow"/>
          <w:lang w:val="en-US" w:eastAsia="zh-CN"/>
        </w:rPr>
        <w:t>1.参与多个包的，需制作多个审核文件，盖章后上传中粮E采平台对应包端口处，工作人员进行审核通过后，方可在系统上获取采购文件及报价单等材料。</w:t>
      </w:r>
    </w:p>
    <w:p w14:paraId="39163A7D">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宋体" w:hAnsi="宋体" w:eastAsia="宋体" w:cs="宋体"/>
          <w:b/>
          <w:bCs/>
          <w:sz w:val="24"/>
          <w:szCs w:val="21"/>
          <w:highlight w:val="yellow"/>
          <w:lang w:val="en-US" w:eastAsia="zh-CN"/>
        </w:rPr>
      </w:pPr>
      <w:r>
        <w:rPr>
          <w:rFonts w:hint="eastAsia" w:ascii="宋体" w:hAnsi="宋体" w:eastAsia="宋体" w:cs="宋体"/>
          <w:b/>
          <w:bCs/>
          <w:sz w:val="24"/>
          <w:szCs w:val="21"/>
          <w:highlight w:val="yellow"/>
          <w:lang w:val="en-US" w:eastAsia="zh-CN"/>
        </w:rPr>
        <w:t>2.参加多个采购包的供应商，若各采购包资格要求相同，可先提交其中1个采购包的资格文件进行审查，审查合格后再提交其他采购包，避免重复退回修改；若各采购包资格要求不同，则须按各采购包公告中（通用+专用）资格要求分别提供资格文件。</w:t>
      </w:r>
    </w:p>
    <w:p w14:paraId="4FF16575">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宋体" w:hAnsi="宋体" w:eastAsia="宋体" w:cs="宋体"/>
          <w:b/>
          <w:bCs/>
          <w:sz w:val="24"/>
          <w:szCs w:val="21"/>
          <w:highlight w:val="yellow"/>
          <w:lang w:val="en-US" w:eastAsia="zh-CN"/>
        </w:rPr>
      </w:pPr>
      <w:r>
        <w:rPr>
          <w:rFonts w:hint="eastAsia" w:ascii="宋体" w:hAnsi="宋体" w:eastAsia="宋体" w:cs="宋体"/>
          <w:b/>
          <w:bCs/>
          <w:sz w:val="24"/>
          <w:szCs w:val="21"/>
          <w:highlight w:val="yellow"/>
          <w:lang w:val="en-US" w:eastAsia="zh-CN"/>
        </w:rPr>
        <w:t>3.以下格式作为参考，供应商</w:t>
      </w:r>
      <w:r>
        <w:rPr>
          <w:rFonts w:hint="eastAsia" w:ascii="宋体" w:hAnsi="宋体" w:eastAsia="宋体" w:cs="宋体"/>
          <w:b/>
          <w:bCs/>
          <w:color w:val="FF0000"/>
          <w:sz w:val="24"/>
          <w:szCs w:val="21"/>
          <w:highlight w:val="yellow"/>
          <w:lang w:val="en-US" w:eastAsia="zh-CN"/>
        </w:rPr>
        <w:t>根据</w:t>
      </w:r>
      <w:r>
        <w:rPr>
          <w:rFonts w:hint="eastAsia" w:ascii="宋体" w:hAnsi="宋体" w:eastAsia="宋体" w:cs="宋体"/>
          <w:b/>
          <w:bCs/>
          <w:color w:val="FF0000"/>
          <w:sz w:val="24"/>
          <w:szCs w:val="21"/>
          <w:highlight w:val="yellow"/>
          <w:lang w:val="en-US" w:eastAsia="zh-CN"/>
        </w:rPr>
        <w:t>公告中（通用+专用）对应参与采购包资格要求进行格式调整。</w:t>
      </w:r>
    </w:p>
    <w:bookmarkEnd w:id="20"/>
    <w:p w14:paraId="5596E776">
      <w:pPr>
        <w:ind w:firstLine="560"/>
        <w:rPr>
          <w:rFonts w:hint="eastAsia" w:ascii="宋体" w:hAnsi="宋体" w:eastAsia="宋体" w:cs="宋体"/>
          <w:b/>
          <w:bCs/>
          <w:sz w:val="28"/>
        </w:rPr>
      </w:pPr>
    </w:p>
    <w:p w14:paraId="7FF21392">
      <w:pPr>
        <w:spacing w:line="360" w:lineRule="auto"/>
        <w:ind w:firstLine="1124" w:firstLineChars="400"/>
        <w:rPr>
          <w:rFonts w:hint="eastAsia" w:ascii="宋体" w:hAnsi="宋体" w:eastAsia="宋体" w:cs="宋体"/>
          <w:b/>
          <w:bCs/>
          <w:sz w:val="28"/>
          <w:u w:val="single"/>
          <w:lang w:eastAsia="zh-CN"/>
        </w:rPr>
      </w:pPr>
      <w:r>
        <w:rPr>
          <w:rFonts w:hint="eastAsia" w:ascii="宋体" w:hAnsi="宋体" w:eastAsia="宋体" w:cs="宋体"/>
          <w:b/>
          <w:bCs/>
          <w:sz w:val="28"/>
          <w:lang w:val="en-US" w:eastAsia="zh-CN"/>
        </w:rPr>
        <w:t>供应商联系电话</w:t>
      </w:r>
      <w:r>
        <w:rPr>
          <w:rFonts w:hint="eastAsia" w:ascii="宋体" w:hAnsi="宋体" w:eastAsia="宋体" w:cs="宋体"/>
          <w:b/>
          <w:bCs/>
          <w:sz w:val="28"/>
        </w:rPr>
        <w:t>：</w:t>
      </w:r>
      <w:r>
        <w:rPr>
          <w:rFonts w:hint="eastAsia" w:ascii="宋体" w:hAnsi="宋体" w:eastAsia="宋体" w:cs="宋体"/>
          <w:b/>
          <w:bCs/>
          <w:u w:val="single"/>
        </w:rPr>
        <w:t xml:space="preserve">            </w:t>
      </w:r>
      <w:r>
        <w:rPr>
          <w:rFonts w:hint="eastAsia" w:ascii="宋体" w:hAnsi="宋体" w:eastAsia="宋体" w:cs="宋体"/>
          <w:b/>
          <w:bCs/>
          <w:u w:val="single"/>
          <w:lang w:val="en-US" w:eastAsia="zh-CN"/>
        </w:rPr>
        <w:t xml:space="preserve"> </w:t>
      </w:r>
      <w:r>
        <w:rPr>
          <w:rFonts w:hint="eastAsia" w:ascii="宋体" w:hAnsi="宋体" w:eastAsia="宋体" w:cs="宋体"/>
          <w:b/>
          <w:bCs/>
          <w:u w:val="single"/>
          <w:lang w:eastAsia="zh-CN"/>
        </w:rPr>
        <w:t>（</w:t>
      </w:r>
      <w:r>
        <w:rPr>
          <w:rFonts w:hint="eastAsia" w:ascii="宋体" w:hAnsi="宋体" w:eastAsia="宋体" w:cs="宋体"/>
          <w:b/>
          <w:bCs/>
          <w:u w:val="single"/>
          <w:lang w:val="en-US" w:eastAsia="zh-CN"/>
        </w:rPr>
        <w:t>便于联系修改资料</w:t>
      </w:r>
      <w:r>
        <w:rPr>
          <w:rFonts w:hint="eastAsia" w:ascii="宋体" w:hAnsi="宋体" w:eastAsia="宋体" w:cs="宋体"/>
          <w:b/>
          <w:bCs/>
          <w:u w:val="single"/>
          <w:lang w:eastAsia="zh-CN"/>
        </w:rPr>
        <w:t>）</w:t>
      </w:r>
    </w:p>
    <w:p w14:paraId="2ABE86EF">
      <w:pPr>
        <w:spacing w:line="360" w:lineRule="auto"/>
        <w:ind w:firstLine="1124" w:firstLineChars="400"/>
        <w:rPr>
          <w:rFonts w:hint="eastAsia" w:ascii="宋体" w:hAnsi="宋体" w:eastAsia="宋体" w:cs="宋体"/>
          <w:b/>
          <w:bCs/>
          <w:sz w:val="28"/>
          <w:u w:val="single"/>
        </w:rPr>
      </w:pPr>
      <w:r>
        <w:rPr>
          <w:rFonts w:hint="eastAsia" w:ascii="宋体" w:hAnsi="宋体" w:eastAsia="宋体" w:cs="宋体"/>
          <w:b/>
          <w:bCs/>
          <w:sz w:val="28"/>
        </w:rPr>
        <w:t>供应商</w:t>
      </w:r>
      <w:r>
        <w:rPr>
          <w:rFonts w:hint="eastAsia" w:ascii="宋体" w:hAnsi="宋体" w:eastAsia="宋体" w:cs="宋体"/>
          <w:b/>
          <w:bCs/>
          <w:sz w:val="28"/>
        </w:rPr>
        <w:t>：</w:t>
      </w:r>
      <w:r>
        <w:rPr>
          <w:rFonts w:hint="eastAsia" w:ascii="宋体" w:hAnsi="宋体" w:eastAsia="宋体" w:cs="宋体"/>
          <w:b/>
          <w:bCs/>
          <w:u w:val="single"/>
        </w:rPr>
        <w:t xml:space="preserve">                                           </w:t>
      </w:r>
    </w:p>
    <w:p w14:paraId="4DCD4071">
      <w:pPr>
        <w:ind w:firstLine="560"/>
        <w:jc w:val="center"/>
        <w:rPr>
          <w:rFonts w:hint="eastAsia" w:ascii="宋体" w:hAnsi="宋体" w:eastAsia="宋体" w:cs="宋体"/>
          <w:b/>
          <w:bCs/>
          <w:sz w:val="28"/>
        </w:rPr>
      </w:pPr>
    </w:p>
    <w:p w14:paraId="02527812">
      <w:pPr>
        <w:spacing w:line="400" w:lineRule="exact"/>
        <w:ind w:firstLine="420"/>
        <w:jc w:val="center"/>
        <w:rPr>
          <w:rFonts w:hint="eastAsia" w:ascii="宋体" w:hAnsi="宋体" w:eastAsia="宋体" w:cs="宋体"/>
          <w:b/>
          <w:bCs/>
          <w:sz w:val="28"/>
        </w:rPr>
      </w:pPr>
      <w:r>
        <w:rPr>
          <w:rFonts w:hint="eastAsia" w:ascii="宋体" w:hAnsi="宋体" w:eastAsia="宋体" w:cs="宋体"/>
          <w:b/>
          <w:bCs/>
          <w:u w:val="single"/>
        </w:rPr>
        <w:t xml:space="preserve">       </w:t>
      </w:r>
      <w:r>
        <w:rPr>
          <w:rFonts w:hint="eastAsia" w:ascii="宋体" w:hAnsi="宋体" w:eastAsia="宋体" w:cs="宋体"/>
          <w:b/>
          <w:bCs/>
          <w:sz w:val="28"/>
        </w:rPr>
        <w:t>年</w:t>
      </w:r>
      <w:r>
        <w:rPr>
          <w:rFonts w:hint="eastAsia" w:ascii="宋体" w:hAnsi="宋体" w:eastAsia="宋体" w:cs="宋体"/>
          <w:b/>
          <w:bCs/>
          <w:u w:val="single"/>
        </w:rPr>
        <w:t xml:space="preserve">       </w:t>
      </w:r>
      <w:r>
        <w:rPr>
          <w:rFonts w:hint="eastAsia" w:ascii="宋体" w:hAnsi="宋体" w:eastAsia="宋体" w:cs="宋体"/>
          <w:b/>
          <w:bCs/>
          <w:sz w:val="28"/>
        </w:rPr>
        <w:t>月</w:t>
      </w:r>
      <w:r>
        <w:rPr>
          <w:rFonts w:hint="eastAsia" w:ascii="宋体" w:hAnsi="宋体" w:eastAsia="宋体" w:cs="宋体"/>
          <w:b/>
          <w:bCs/>
          <w:u w:val="single"/>
        </w:rPr>
        <w:t xml:space="preserve">       </w:t>
      </w:r>
      <w:r>
        <w:rPr>
          <w:rFonts w:hint="eastAsia" w:ascii="宋体" w:hAnsi="宋体" w:eastAsia="宋体" w:cs="宋体"/>
          <w:b/>
          <w:bCs/>
          <w:sz w:val="28"/>
        </w:rPr>
        <w:t>日</w:t>
      </w:r>
    </w:p>
    <w:p w14:paraId="276103AF">
      <w:pPr>
        <w:rPr>
          <w:rFonts w:hint="eastAsia" w:ascii="宋体" w:hAnsi="宋体" w:eastAsia="宋体" w:cs="宋体"/>
        </w:rPr>
      </w:pPr>
    </w:p>
    <w:p w14:paraId="51B21099">
      <w:pPr>
        <w:widowControl/>
        <w:jc w:val="left"/>
        <w:rPr>
          <w:rFonts w:hint="eastAsia" w:ascii="宋体" w:hAnsi="宋体" w:eastAsia="宋体" w:cs="宋体"/>
          <w:snapToGrid w:val="0"/>
          <w:kern w:val="0"/>
          <w:sz w:val="24"/>
          <w:lang w:bidi="en-US"/>
        </w:rPr>
      </w:pPr>
      <w:r>
        <w:rPr>
          <w:rFonts w:hint="eastAsia" w:ascii="宋体" w:hAnsi="宋体" w:eastAsia="宋体" w:cs="宋体"/>
          <w:snapToGrid w:val="0"/>
          <w:kern w:val="0"/>
          <w:sz w:val="24"/>
          <w:lang w:bidi="en-US"/>
        </w:rPr>
        <w:br w:type="page"/>
      </w:r>
    </w:p>
    <w:p w14:paraId="09719C6A">
      <w:pPr>
        <w:spacing w:line="400" w:lineRule="exact"/>
        <w:ind w:firstLine="422"/>
        <w:jc w:val="center"/>
        <w:rPr>
          <w:rFonts w:hint="eastAsia" w:ascii="宋体" w:hAnsi="宋体" w:eastAsia="宋体" w:cs="宋体"/>
          <w:b/>
          <w:sz w:val="24"/>
          <w:highlight w:val="none"/>
        </w:rPr>
      </w:pPr>
      <w:bookmarkStart w:id="0" w:name="_Toc530142180"/>
      <w:bookmarkStart w:id="1" w:name="_Toc524462521"/>
      <w:bookmarkStart w:id="2" w:name="_Toc28799838"/>
      <w:bookmarkStart w:id="3" w:name="_Toc479262713"/>
      <w:bookmarkStart w:id="4" w:name="_Toc31744"/>
      <w:r>
        <w:rPr>
          <w:rFonts w:hint="eastAsia" w:ascii="宋体" w:hAnsi="宋体" w:eastAsia="宋体" w:cs="宋体"/>
          <w:b/>
          <w:sz w:val="24"/>
          <w:highlight w:val="none"/>
          <w:lang w:val="en-US" w:eastAsia="zh-CN"/>
        </w:rPr>
        <w:t>资格</w:t>
      </w:r>
      <w:r>
        <w:rPr>
          <w:rFonts w:hint="eastAsia" w:ascii="宋体" w:hAnsi="宋体" w:eastAsia="宋体" w:cs="宋体"/>
          <w:b/>
          <w:sz w:val="24"/>
          <w:highlight w:val="none"/>
        </w:rPr>
        <w:t>审查索引表</w:t>
      </w:r>
      <w:bookmarkEnd w:id="0"/>
      <w:bookmarkEnd w:id="1"/>
      <w:bookmarkEnd w:id="2"/>
      <w:bookmarkEnd w:id="3"/>
    </w:p>
    <w:tbl>
      <w:tblPr>
        <w:tblStyle w:val="3"/>
        <w:tblW w:w="517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4238"/>
        <w:gridCol w:w="3811"/>
      </w:tblGrid>
      <w:tr w14:paraId="7C328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2C5D23F3">
            <w:pPr>
              <w:contextualSpacing/>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2402" w:type="pct"/>
            <w:noWrap w:val="0"/>
            <w:vAlign w:val="center"/>
          </w:tcPr>
          <w:p w14:paraId="2549AF7C">
            <w:pPr>
              <w:contextualSpacing/>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资格审核</w:t>
            </w:r>
            <w:r>
              <w:rPr>
                <w:rFonts w:hint="eastAsia" w:ascii="宋体" w:hAnsi="宋体" w:eastAsia="宋体" w:cs="宋体"/>
                <w:b/>
                <w:color w:val="auto"/>
                <w:sz w:val="24"/>
                <w:highlight w:val="none"/>
              </w:rPr>
              <w:t>因素</w:t>
            </w:r>
          </w:p>
          <w:p w14:paraId="12D27539">
            <w:pPr>
              <w:contextualSpacing/>
              <w:jc w:val="center"/>
              <w:rPr>
                <w:rFonts w:hint="eastAsia" w:ascii="宋体" w:hAnsi="宋体" w:eastAsia="宋体" w:cs="宋体"/>
                <w:b/>
                <w:color w:val="auto"/>
                <w:sz w:val="24"/>
                <w:highlight w:val="none"/>
                <w:lang w:eastAsia="zh-CN"/>
              </w:rPr>
            </w:pP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lang w:val="en-US" w:eastAsia="zh-CN"/>
              </w:rPr>
              <w:t>参与对应采购包</w:t>
            </w:r>
            <w:r>
              <w:rPr>
                <w:rFonts w:hint="eastAsia" w:ascii="宋体" w:hAnsi="宋体" w:eastAsia="宋体" w:cs="宋体"/>
                <w:b w:val="0"/>
                <w:bCs/>
                <w:color w:val="auto"/>
                <w:sz w:val="24"/>
                <w:szCs w:val="21"/>
                <w:highlight w:val="none"/>
                <w:lang w:val="en-US" w:eastAsia="zh-CN"/>
              </w:rPr>
              <w:t>（通用+专用）的资格要求提供的</w:t>
            </w: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rPr>
              <w:t>因素</w:t>
            </w:r>
          </w:p>
        </w:tc>
        <w:tc>
          <w:tcPr>
            <w:tcW w:w="2160" w:type="pct"/>
            <w:noWrap w:val="0"/>
            <w:vAlign w:val="center"/>
          </w:tcPr>
          <w:p w14:paraId="068DE4B4">
            <w:pPr>
              <w:contextualSpacing/>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审查文件页码范围</w:t>
            </w:r>
          </w:p>
        </w:tc>
      </w:tr>
      <w:tr w14:paraId="3A810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5193C00B">
            <w:pPr>
              <w:contextualSpacing/>
              <w:jc w:val="center"/>
              <w:rPr>
                <w:rFonts w:hint="eastAsia" w:ascii="宋体" w:hAnsi="宋体" w:eastAsia="宋体" w:cs="宋体"/>
                <w:color w:val="auto"/>
                <w:sz w:val="24"/>
                <w:highlight w:val="none"/>
              </w:rPr>
            </w:pPr>
          </w:p>
        </w:tc>
        <w:tc>
          <w:tcPr>
            <w:tcW w:w="2402" w:type="pct"/>
            <w:noWrap w:val="0"/>
            <w:vAlign w:val="center"/>
          </w:tcPr>
          <w:p w14:paraId="5EAF5AB5">
            <w:pPr>
              <w:contextualSpacing/>
              <w:jc w:val="center"/>
              <w:rPr>
                <w:rFonts w:hint="eastAsia" w:ascii="宋体" w:hAnsi="宋体" w:eastAsia="宋体" w:cs="宋体"/>
                <w:color w:val="auto"/>
                <w:sz w:val="24"/>
                <w:highlight w:val="none"/>
              </w:rPr>
            </w:pPr>
          </w:p>
        </w:tc>
        <w:tc>
          <w:tcPr>
            <w:tcW w:w="2160" w:type="pct"/>
            <w:noWrap w:val="0"/>
            <w:vAlign w:val="center"/>
          </w:tcPr>
          <w:p w14:paraId="7419EAF6">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5878B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2A2E5C70">
            <w:pPr>
              <w:contextualSpacing/>
              <w:jc w:val="center"/>
              <w:rPr>
                <w:rFonts w:hint="eastAsia" w:ascii="宋体" w:hAnsi="宋体" w:eastAsia="宋体" w:cs="宋体"/>
                <w:color w:val="auto"/>
                <w:sz w:val="28"/>
                <w:szCs w:val="28"/>
                <w:highlight w:val="none"/>
              </w:rPr>
            </w:pPr>
          </w:p>
        </w:tc>
        <w:tc>
          <w:tcPr>
            <w:tcW w:w="2402" w:type="pct"/>
            <w:noWrap w:val="0"/>
            <w:vAlign w:val="center"/>
          </w:tcPr>
          <w:p w14:paraId="23465A9B">
            <w:pPr>
              <w:contextualSpacing/>
              <w:jc w:val="center"/>
              <w:rPr>
                <w:rFonts w:hint="eastAsia" w:ascii="宋体" w:hAnsi="宋体" w:eastAsia="宋体" w:cs="宋体"/>
                <w:color w:val="auto"/>
                <w:sz w:val="28"/>
                <w:szCs w:val="28"/>
                <w:highlight w:val="none"/>
              </w:rPr>
            </w:pPr>
          </w:p>
        </w:tc>
        <w:tc>
          <w:tcPr>
            <w:tcW w:w="2160" w:type="pct"/>
            <w:noWrap w:val="0"/>
            <w:vAlign w:val="center"/>
          </w:tcPr>
          <w:p w14:paraId="08E77684">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6B182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53E1DA22">
            <w:pPr>
              <w:contextualSpacing/>
              <w:jc w:val="center"/>
              <w:rPr>
                <w:rFonts w:hint="eastAsia" w:ascii="宋体" w:hAnsi="宋体" w:eastAsia="宋体" w:cs="宋体"/>
                <w:color w:val="auto"/>
                <w:sz w:val="28"/>
                <w:szCs w:val="28"/>
                <w:highlight w:val="none"/>
              </w:rPr>
            </w:pPr>
          </w:p>
        </w:tc>
        <w:tc>
          <w:tcPr>
            <w:tcW w:w="2402" w:type="pct"/>
            <w:noWrap w:val="0"/>
            <w:vAlign w:val="center"/>
          </w:tcPr>
          <w:p w14:paraId="584031B1">
            <w:pPr>
              <w:contextualSpacing/>
              <w:jc w:val="center"/>
              <w:rPr>
                <w:rFonts w:hint="eastAsia" w:ascii="宋体" w:hAnsi="宋体" w:eastAsia="宋体" w:cs="宋体"/>
                <w:color w:val="auto"/>
                <w:sz w:val="28"/>
                <w:szCs w:val="28"/>
                <w:highlight w:val="none"/>
              </w:rPr>
            </w:pPr>
          </w:p>
        </w:tc>
        <w:tc>
          <w:tcPr>
            <w:tcW w:w="2160" w:type="pct"/>
            <w:noWrap w:val="0"/>
            <w:vAlign w:val="center"/>
          </w:tcPr>
          <w:p w14:paraId="42A61C94">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7EFF8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725118C8">
            <w:pPr>
              <w:contextualSpacing/>
              <w:jc w:val="center"/>
              <w:rPr>
                <w:rFonts w:hint="eastAsia" w:ascii="宋体" w:hAnsi="宋体" w:eastAsia="宋体" w:cs="宋体"/>
                <w:color w:val="auto"/>
                <w:sz w:val="28"/>
                <w:szCs w:val="28"/>
                <w:highlight w:val="none"/>
              </w:rPr>
            </w:pPr>
          </w:p>
        </w:tc>
        <w:tc>
          <w:tcPr>
            <w:tcW w:w="2402" w:type="pct"/>
            <w:noWrap w:val="0"/>
            <w:vAlign w:val="center"/>
          </w:tcPr>
          <w:p w14:paraId="1580D3C3">
            <w:pPr>
              <w:contextualSpacing/>
              <w:jc w:val="center"/>
              <w:rPr>
                <w:rFonts w:hint="eastAsia" w:ascii="宋体" w:hAnsi="宋体" w:eastAsia="宋体" w:cs="宋体"/>
                <w:color w:val="auto"/>
                <w:sz w:val="28"/>
                <w:szCs w:val="28"/>
                <w:highlight w:val="none"/>
              </w:rPr>
            </w:pPr>
          </w:p>
        </w:tc>
        <w:tc>
          <w:tcPr>
            <w:tcW w:w="2160" w:type="pct"/>
            <w:noWrap w:val="0"/>
            <w:vAlign w:val="center"/>
          </w:tcPr>
          <w:p w14:paraId="4680761A">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46638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4A30B6E9">
            <w:pPr>
              <w:contextualSpacing/>
              <w:jc w:val="center"/>
              <w:rPr>
                <w:rFonts w:hint="eastAsia" w:ascii="宋体" w:hAnsi="宋体" w:eastAsia="宋体" w:cs="宋体"/>
                <w:color w:val="auto"/>
                <w:sz w:val="28"/>
                <w:szCs w:val="28"/>
                <w:highlight w:val="none"/>
              </w:rPr>
            </w:pPr>
          </w:p>
        </w:tc>
        <w:tc>
          <w:tcPr>
            <w:tcW w:w="2402" w:type="pct"/>
            <w:noWrap w:val="0"/>
            <w:vAlign w:val="center"/>
          </w:tcPr>
          <w:p w14:paraId="4FA25459">
            <w:pPr>
              <w:contextualSpacing/>
              <w:jc w:val="center"/>
              <w:rPr>
                <w:rFonts w:hint="eastAsia" w:ascii="宋体" w:hAnsi="宋体" w:eastAsia="宋体" w:cs="宋体"/>
                <w:color w:val="auto"/>
                <w:sz w:val="28"/>
                <w:szCs w:val="28"/>
                <w:highlight w:val="none"/>
              </w:rPr>
            </w:pPr>
          </w:p>
        </w:tc>
        <w:tc>
          <w:tcPr>
            <w:tcW w:w="2160" w:type="pct"/>
            <w:noWrap w:val="0"/>
            <w:vAlign w:val="center"/>
          </w:tcPr>
          <w:p w14:paraId="52423BBB">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5AF3D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trPr>
        <w:tc>
          <w:tcPr>
            <w:tcW w:w="437" w:type="pct"/>
            <w:noWrap w:val="0"/>
            <w:vAlign w:val="center"/>
          </w:tcPr>
          <w:p w14:paraId="31B88B6C">
            <w:pPr>
              <w:contextualSpacing/>
              <w:jc w:val="center"/>
              <w:rPr>
                <w:rFonts w:hint="eastAsia" w:ascii="宋体" w:hAnsi="宋体" w:eastAsia="宋体" w:cs="宋体"/>
                <w:color w:val="auto"/>
                <w:sz w:val="28"/>
                <w:szCs w:val="28"/>
                <w:highlight w:val="none"/>
              </w:rPr>
            </w:pPr>
          </w:p>
        </w:tc>
        <w:tc>
          <w:tcPr>
            <w:tcW w:w="2402" w:type="pct"/>
            <w:noWrap w:val="0"/>
            <w:vAlign w:val="center"/>
          </w:tcPr>
          <w:p w14:paraId="6EF00EB4">
            <w:pPr>
              <w:contextualSpacing/>
              <w:jc w:val="center"/>
              <w:rPr>
                <w:rFonts w:hint="eastAsia" w:ascii="宋体" w:hAnsi="宋体" w:eastAsia="宋体" w:cs="宋体"/>
                <w:color w:val="auto"/>
                <w:sz w:val="28"/>
                <w:szCs w:val="28"/>
                <w:highlight w:val="none"/>
              </w:rPr>
            </w:pPr>
          </w:p>
        </w:tc>
        <w:tc>
          <w:tcPr>
            <w:tcW w:w="2160" w:type="pct"/>
            <w:noWrap w:val="0"/>
            <w:vAlign w:val="center"/>
          </w:tcPr>
          <w:p w14:paraId="52C94168">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70B9D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trPr>
        <w:tc>
          <w:tcPr>
            <w:tcW w:w="437" w:type="pct"/>
            <w:noWrap w:val="0"/>
            <w:vAlign w:val="center"/>
          </w:tcPr>
          <w:p w14:paraId="28329CAD">
            <w:pPr>
              <w:contextualSpacing/>
              <w:jc w:val="center"/>
              <w:rPr>
                <w:rFonts w:hint="eastAsia" w:ascii="宋体" w:hAnsi="宋体" w:eastAsia="宋体" w:cs="宋体"/>
                <w:color w:val="auto"/>
                <w:sz w:val="28"/>
                <w:szCs w:val="28"/>
                <w:highlight w:val="none"/>
              </w:rPr>
            </w:pPr>
          </w:p>
        </w:tc>
        <w:tc>
          <w:tcPr>
            <w:tcW w:w="2402" w:type="pct"/>
            <w:noWrap w:val="0"/>
            <w:vAlign w:val="center"/>
          </w:tcPr>
          <w:p w14:paraId="126577C5">
            <w:pPr>
              <w:contextualSpacing/>
              <w:jc w:val="center"/>
              <w:rPr>
                <w:rFonts w:hint="eastAsia" w:ascii="宋体" w:hAnsi="宋体" w:eastAsia="宋体" w:cs="宋体"/>
                <w:color w:val="auto"/>
                <w:sz w:val="28"/>
                <w:szCs w:val="28"/>
                <w:highlight w:val="none"/>
              </w:rPr>
            </w:pPr>
          </w:p>
        </w:tc>
        <w:tc>
          <w:tcPr>
            <w:tcW w:w="2160" w:type="pct"/>
            <w:noWrap w:val="0"/>
            <w:vAlign w:val="center"/>
          </w:tcPr>
          <w:p w14:paraId="0B68E8FB">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r>
              <w:rPr>
                <w:rFonts w:hint="eastAsia" w:ascii="宋体" w:hAnsi="宋体" w:eastAsia="宋体" w:cs="宋体"/>
                <w:color w:val="auto"/>
                <w:sz w:val="24"/>
                <w:highlight w:val="none"/>
                <w:u w:val="single"/>
              </w:rPr>
              <w:t xml:space="preserve">   </w:t>
            </w:r>
          </w:p>
        </w:tc>
      </w:tr>
      <w:tr w14:paraId="6E06D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trPr>
        <w:tc>
          <w:tcPr>
            <w:tcW w:w="437" w:type="pct"/>
            <w:noWrap w:val="0"/>
            <w:vAlign w:val="center"/>
          </w:tcPr>
          <w:p w14:paraId="665CC8BC">
            <w:pPr>
              <w:contextualSpacing/>
              <w:jc w:val="center"/>
              <w:rPr>
                <w:rFonts w:hint="eastAsia" w:ascii="宋体" w:hAnsi="宋体" w:eastAsia="宋体" w:cs="宋体"/>
                <w:color w:val="auto"/>
                <w:sz w:val="28"/>
                <w:szCs w:val="28"/>
                <w:highlight w:val="none"/>
              </w:rPr>
            </w:pPr>
          </w:p>
        </w:tc>
        <w:tc>
          <w:tcPr>
            <w:tcW w:w="2402" w:type="pct"/>
            <w:noWrap w:val="0"/>
            <w:vAlign w:val="center"/>
          </w:tcPr>
          <w:p w14:paraId="457014B2">
            <w:pPr>
              <w:contextualSpacing/>
              <w:jc w:val="center"/>
              <w:rPr>
                <w:rFonts w:hint="eastAsia" w:ascii="宋体" w:hAnsi="宋体" w:eastAsia="宋体" w:cs="宋体"/>
                <w:color w:val="auto"/>
                <w:sz w:val="28"/>
                <w:szCs w:val="28"/>
                <w:highlight w:val="none"/>
              </w:rPr>
            </w:pPr>
          </w:p>
        </w:tc>
        <w:tc>
          <w:tcPr>
            <w:tcW w:w="2160" w:type="pct"/>
            <w:noWrap w:val="0"/>
            <w:vAlign w:val="center"/>
          </w:tcPr>
          <w:p w14:paraId="540B5574">
            <w:pPr>
              <w:contextualSpacing/>
              <w:jc w:val="center"/>
              <w:rPr>
                <w:rFonts w:hint="eastAsia" w:ascii="宋体" w:hAnsi="宋体" w:eastAsia="宋体" w:cs="宋体"/>
                <w:color w:val="auto"/>
                <w:sz w:val="24"/>
                <w:highlight w:val="none"/>
              </w:rPr>
            </w:pPr>
            <w:bookmarkStart w:id="5" w:name="_Toc256691577"/>
            <w:bookmarkStart w:id="6" w:name="_Toc256695453"/>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bookmarkEnd w:id="5"/>
            <w:bookmarkEnd w:id="6"/>
            <w:r>
              <w:rPr>
                <w:rFonts w:hint="eastAsia" w:ascii="宋体" w:hAnsi="宋体" w:eastAsia="宋体" w:cs="宋体"/>
                <w:color w:val="auto"/>
                <w:sz w:val="24"/>
                <w:highlight w:val="none"/>
                <w:u w:val="single"/>
              </w:rPr>
              <w:t xml:space="preserve">   </w:t>
            </w:r>
          </w:p>
        </w:tc>
      </w:tr>
      <w:tr w14:paraId="1091E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3087D588">
            <w:pPr>
              <w:contextualSpacing/>
              <w:jc w:val="center"/>
              <w:rPr>
                <w:rFonts w:hint="eastAsia" w:ascii="宋体" w:hAnsi="宋体" w:eastAsia="宋体" w:cs="宋体"/>
                <w:color w:val="auto"/>
                <w:sz w:val="28"/>
                <w:szCs w:val="28"/>
                <w:highlight w:val="none"/>
              </w:rPr>
            </w:pPr>
          </w:p>
        </w:tc>
        <w:tc>
          <w:tcPr>
            <w:tcW w:w="2402" w:type="pct"/>
            <w:noWrap w:val="0"/>
            <w:vAlign w:val="center"/>
          </w:tcPr>
          <w:p w14:paraId="6CCF9639">
            <w:pPr>
              <w:contextualSpacing/>
              <w:jc w:val="center"/>
              <w:rPr>
                <w:rFonts w:hint="eastAsia" w:ascii="宋体" w:hAnsi="宋体" w:eastAsia="宋体" w:cs="宋体"/>
                <w:color w:val="auto"/>
                <w:sz w:val="28"/>
                <w:szCs w:val="28"/>
                <w:highlight w:val="none"/>
              </w:rPr>
            </w:pPr>
          </w:p>
        </w:tc>
        <w:tc>
          <w:tcPr>
            <w:tcW w:w="2160" w:type="pct"/>
            <w:noWrap w:val="0"/>
            <w:vAlign w:val="center"/>
          </w:tcPr>
          <w:p w14:paraId="1F16CEB9">
            <w:pPr>
              <w:contextualSpacing/>
              <w:jc w:val="center"/>
              <w:rPr>
                <w:rFonts w:hint="eastAsia" w:ascii="宋体" w:hAnsi="宋体" w:eastAsia="宋体" w:cs="宋体"/>
                <w:color w:val="auto"/>
                <w:sz w:val="24"/>
                <w:highlight w:val="none"/>
              </w:rPr>
            </w:pPr>
            <w:bookmarkStart w:id="7" w:name="_Toc256695454"/>
            <w:bookmarkStart w:id="8" w:name="_Toc256691578"/>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bookmarkEnd w:id="7"/>
            <w:bookmarkEnd w:id="8"/>
            <w:r>
              <w:rPr>
                <w:rFonts w:hint="eastAsia" w:ascii="宋体" w:hAnsi="宋体" w:eastAsia="宋体" w:cs="宋体"/>
                <w:color w:val="auto"/>
                <w:sz w:val="24"/>
                <w:highlight w:val="none"/>
                <w:u w:val="single"/>
              </w:rPr>
              <w:t xml:space="preserve">   </w:t>
            </w:r>
          </w:p>
        </w:tc>
      </w:tr>
      <w:tr w14:paraId="6C900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trPr>
        <w:tc>
          <w:tcPr>
            <w:tcW w:w="437" w:type="pct"/>
            <w:noWrap w:val="0"/>
            <w:vAlign w:val="center"/>
          </w:tcPr>
          <w:p w14:paraId="672B1C5F">
            <w:pPr>
              <w:contextualSpacing/>
              <w:jc w:val="center"/>
              <w:rPr>
                <w:rFonts w:hint="eastAsia" w:ascii="宋体" w:hAnsi="宋体" w:eastAsia="宋体" w:cs="宋体"/>
                <w:color w:val="auto"/>
                <w:sz w:val="28"/>
                <w:szCs w:val="28"/>
                <w:highlight w:val="none"/>
              </w:rPr>
            </w:pPr>
          </w:p>
        </w:tc>
        <w:tc>
          <w:tcPr>
            <w:tcW w:w="2402" w:type="pct"/>
            <w:noWrap w:val="0"/>
            <w:vAlign w:val="center"/>
          </w:tcPr>
          <w:p w14:paraId="1757FDFA">
            <w:pPr>
              <w:contextualSpacing/>
              <w:jc w:val="center"/>
              <w:rPr>
                <w:rFonts w:hint="eastAsia" w:ascii="宋体" w:hAnsi="宋体" w:eastAsia="宋体" w:cs="宋体"/>
                <w:color w:val="auto"/>
                <w:sz w:val="28"/>
                <w:szCs w:val="28"/>
                <w:highlight w:val="none"/>
              </w:rPr>
            </w:pPr>
          </w:p>
        </w:tc>
        <w:tc>
          <w:tcPr>
            <w:tcW w:w="2160" w:type="pct"/>
            <w:noWrap w:val="0"/>
            <w:vAlign w:val="center"/>
          </w:tcPr>
          <w:p w14:paraId="3BFDC398">
            <w:pPr>
              <w:contextualSpacing/>
              <w:jc w:val="center"/>
              <w:rPr>
                <w:rFonts w:hint="eastAsia" w:ascii="宋体" w:hAnsi="宋体" w:eastAsia="宋体" w:cs="宋体"/>
                <w:color w:val="auto"/>
                <w:sz w:val="24"/>
                <w:highlight w:val="none"/>
              </w:rPr>
            </w:pPr>
            <w:bookmarkStart w:id="9" w:name="_Toc256691579"/>
            <w:bookmarkStart w:id="10" w:name="_Toc256695455"/>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bookmarkEnd w:id="9"/>
            <w:bookmarkEnd w:id="10"/>
            <w:r>
              <w:rPr>
                <w:rFonts w:hint="eastAsia" w:ascii="宋体" w:hAnsi="宋体" w:eastAsia="宋体" w:cs="宋体"/>
                <w:color w:val="auto"/>
                <w:sz w:val="24"/>
                <w:highlight w:val="none"/>
                <w:u w:val="single"/>
              </w:rPr>
              <w:t xml:space="preserve">   </w:t>
            </w:r>
          </w:p>
        </w:tc>
      </w:tr>
      <w:tr w14:paraId="14679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6AF12D81">
            <w:pPr>
              <w:contextualSpacing/>
              <w:jc w:val="center"/>
              <w:rPr>
                <w:rFonts w:hint="eastAsia" w:ascii="宋体" w:hAnsi="宋体" w:eastAsia="宋体" w:cs="宋体"/>
                <w:color w:val="auto"/>
                <w:sz w:val="28"/>
                <w:szCs w:val="28"/>
                <w:highlight w:val="none"/>
              </w:rPr>
            </w:pPr>
          </w:p>
        </w:tc>
        <w:tc>
          <w:tcPr>
            <w:tcW w:w="2402" w:type="pct"/>
            <w:noWrap w:val="0"/>
            <w:vAlign w:val="center"/>
          </w:tcPr>
          <w:p w14:paraId="0F92AD27">
            <w:pPr>
              <w:contextualSpacing/>
              <w:jc w:val="center"/>
              <w:rPr>
                <w:rFonts w:hint="eastAsia" w:ascii="宋体" w:hAnsi="宋体" w:eastAsia="宋体" w:cs="宋体"/>
                <w:color w:val="auto"/>
                <w:sz w:val="28"/>
                <w:szCs w:val="28"/>
                <w:highlight w:val="none"/>
              </w:rPr>
            </w:pPr>
          </w:p>
        </w:tc>
        <w:tc>
          <w:tcPr>
            <w:tcW w:w="2160" w:type="pct"/>
            <w:noWrap w:val="0"/>
            <w:vAlign w:val="center"/>
          </w:tcPr>
          <w:p w14:paraId="1B0EAD5B">
            <w:pPr>
              <w:contextualSpacing/>
              <w:jc w:val="center"/>
              <w:rPr>
                <w:rFonts w:hint="eastAsia" w:ascii="宋体" w:hAnsi="宋体" w:eastAsia="宋体" w:cs="宋体"/>
                <w:color w:val="auto"/>
                <w:sz w:val="28"/>
                <w:szCs w:val="28"/>
                <w:highlight w:val="none"/>
              </w:rPr>
            </w:pPr>
            <w:bookmarkStart w:id="11" w:name="_Toc256691580"/>
            <w:bookmarkStart w:id="12" w:name="_Toc256695456"/>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bookmarkEnd w:id="11"/>
            <w:bookmarkEnd w:id="12"/>
            <w:r>
              <w:rPr>
                <w:rFonts w:hint="eastAsia" w:ascii="宋体" w:hAnsi="宋体" w:eastAsia="宋体" w:cs="宋体"/>
                <w:color w:val="auto"/>
                <w:sz w:val="24"/>
                <w:highlight w:val="none"/>
                <w:u w:val="single"/>
              </w:rPr>
              <w:t xml:space="preserve">   </w:t>
            </w:r>
          </w:p>
        </w:tc>
      </w:tr>
      <w:tr w14:paraId="7EA4D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2C4E03CA">
            <w:pPr>
              <w:contextualSpacing/>
              <w:jc w:val="center"/>
              <w:rPr>
                <w:rFonts w:hint="eastAsia" w:ascii="宋体" w:hAnsi="宋体" w:eastAsia="宋体" w:cs="宋体"/>
                <w:color w:val="auto"/>
                <w:sz w:val="28"/>
                <w:szCs w:val="28"/>
                <w:highlight w:val="none"/>
              </w:rPr>
            </w:pPr>
          </w:p>
        </w:tc>
        <w:tc>
          <w:tcPr>
            <w:tcW w:w="2402" w:type="pct"/>
            <w:noWrap w:val="0"/>
            <w:vAlign w:val="center"/>
          </w:tcPr>
          <w:p w14:paraId="4AEE8A93">
            <w:pPr>
              <w:contextualSpacing/>
              <w:jc w:val="center"/>
              <w:rPr>
                <w:rFonts w:hint="eastAsia" w:ascii="宋体" w:hAnsi="宋体" w:eastAsia="宋体" w:cs="宋体"/>
                <w:color w:val="auto"/>
                <w:sz w:val="28"/>
                <w:szCs w:val="28"/>
                <w:highlight w:val="none"/>
              </w:rPr>
            </w:pPr>
          </w:p>
        </w:tc>
        <w:tc>
          <w:tcPr>
            <w:tcW w:w="2160" w:type="pct"/>
            <w:noWrap w:val="0"/>
            <w:vAlign w:val="center"/>
          </w:tcPr>
          <w:p w14:paraId="073D1A8F">
            <w:pPr>
              <w:contextualSpacing/>
              <w:jc w:val="center"/>
              <w:rPr>
                <w:rFonts w:hint="eastAsia" w:ascii="宋体" w:hAnsi="宋体" w:eastAsia="宋体" w:cs="宋体"/>
                <w:color w:val="auto"/>
                <w:sz w:val="24"/>
                <w:highlight w:val="none"/>
              </w:rPr>
            </w:pPr>
            <w:bookmarkStart w:id="13" w:name="_Toc256691581"/>
            <w:bookmarkStart w:id="14" w:name="_Toc256695457"/>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bookmarkEnd w:id="13"/>
            <w:bookmarkEnd w:id="14"/>
            <w:r>
              <w:rPr>
                <w:rFonts w:hint="eastAsia" w:ascii="宋体" w:hAnsi="宋体" w:eastAsia="宋体" w:cs="宋体"/>
                <w:color w:val="auto"/>
                <w:sz w:val="24"/>
                <w:highlight w:val="none"/>
                <w:u w:val="single"/>
              </w:rPr>
              <w:t xml:space="preserve">   </w:t>
            </w:r>
          </w:p>
        </w:tc>
      </w:tr>
      <w:tr w14:paraId="6E8E5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437" w:type="pct"/>
            <w:noWrap w:val="0"/>
            <w:vAlign w:val="center"/>
          </w:tcPr>
          <w:p w14:paraId="6F0DD542">
            <w:pPr>
              <w:contextualSpacing/>
              <w:jc w:val="center"/>
              <w:rPr>
                <w:rFonts w:hint="eastAsia" w:ascii="宋体" w:hAnsi="宋体" w:eastAsia="宋体" w:cs="宋体"/>
                <w:color w:val="auto"/>
                <w:sz w:val="28"/>
                <w:szCs w:val="28"/>
                <w:highlight w:val="none"/>
              </w:rPr>
            </w:pPr>
          </w:p>
        </w:tc>
        <w:tc>
          <w:tcPr>
            <w:tcW w:w="2402" w:type="pct"/>
            <w:noWrap w:val="0"/>
            <w:vAlign w:val="center"/>
          </w:tcPr>
          <w:p w14:paraId="16514500">
            <w:pPr>
              <w:contextualSpacing/>
              <w:jc w:val="center"/>
              <w:rPr>
                <w:rFonts w:hint="eastAsia" w:ascii="宋体" w:hAnsi="宋体" w:eastAsia="宋体" w:cs="宋体"/>
                <w:color w:val="auto"/>
                <w:sz w:val="28"/>
                <w:szCs w:val="28"/>
                <w:highlight w:val="none"/>
              </w:rPr>
            </w:pPr>
          </w:p>
        </w:tc>
        <w:tc>
          <w:tcPr>
            <w:tcW w:w="2160" w:type="pct"/>
            <w:noWrap w:val="0"/>
            <w:vAlign w:val="center"/>
          </w:tcPr>
          <w:p w14:paraId="3DE0FA86">
            <w:pPr>
              <w:contextualSpacing/>
              <w:jc w:val="center"/>
              <w:rPr>
                <w:rFonts w:hint="eastAsia" w:ascii="宋体" w:hAnsi="宋体" w:eastAsia="宋体" w:cs="宋体"/>
                <w:color w:val="auto"/>
                <w:sz w:val="28"/>
                <w:szCs w:val="28"/>
                <w:highlight w:val="none"/>
              </w:rPr>
            </w:pPr>
            <w:bookmarkStart w:id="15" w:name="_Toc256691582"/>
            <w:bookmarkStart w:id="16" w:name="_Toc256695458"/>
            <w:r>
              <w:rPr>
                <w:rFonts w:hint="eastAsia" w:ascii="宋体" w:hAnsi="宋体" w:eastAsia="宋体" w:cs="宋体"/>
                <w:color w:val="auto"/>
                <w:sz w:val="24"/>
                <w:highlight w:val="none"/>
              </w:rPr>
              <w:t>P</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P</w:t>
            </w:r>
            <w:bookmarkEnd w:id="15"/>
            <w:bookmarkEnd w:id="16"/>
            <w:r>
              <w:rPr>
                <w:rFonts w:hint="eastAsia" w:ascii="宋体" w:hAnsi="宋体" w:eastAsia="宋体" w:cs="宋体"/>
                <w:color w:val="auto"/>
                <w:sz w:val="24"/>
                <w:highlight w:val="none"/>
                <w:u w:val="single"/>
              </w:rPr>
              <w:t xml:space="preserve">   </w:t>
            </w:r>
          </w:p>
        </w:tc>
      </w:tr>
      <w:tr w14:paraId="05897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3" w:hRule="atLeast"/>
        </w:trPr>
        <w:tc>
          <w:tcPr>
            <w:tcW w:w="437" w:type="pct"/>
            <w:noWrap w:val="0"/>
            <w:vAlign w:val="center"/>
          </w:tcPr>
          <w:p w14:paraId="4B915E6B">
            <w:pPr>
              <w:contextualSpacing/>
              <w:jc w:val="center"/>
              <w:rPr>
                <w:rFonts w:hint="eastAsia" w:ascii="宋体" w:hAnsi="宋体" w:eastAsia="宋体" w:cs="宋体"/>
                <w:color w:val="auto"/>
                <w:sz w:val="28"/>
                <w:szCs w:val="28"/>
                <w:highlight w:val="none"/>
              </w:rPr>
            </w:pPr>
          </w:p>
        </w:tc>
        <w:tc>
          <w:tcPr>
            <w:tcW w:w="2402" w:type="pct"/>
            <w:noWrap w:val="0"/>
            <w:vAlign w:val="center"/>
          </w:tcPr>
          <w:p w14:paraId="706B078E">
            <w:pPr>
              <w:contextualSpacing/>
              <w:jc w:val="center"/>
              <w:rPr>
                <w:rFonts w:hint="eastAsia" w:ascii="宋体" w:hAnsi="宋体" w:eastAsia="宋体" w:cs="宋体"/>
                <w:color w:val="auto"/>
                <w:sz w:val="28"/>
                <w:szCs w:val="28"/>
                <w:highlight w:val="none"/>
              </w:rPr>
            </w:pPr>
            <w:bookmarkStart w:id="17" w:name="_Toc256695459"/>
            <w:bookmarkStart w:id="18" w:name="_Toc256691583"/>
            <w:r>
              <w:rPr>
                <w:rFonts w:hint="eastAsia" w:ascii="宋体" w:hAnsi="宋体" w:eastAsia="宋体" w:cs="宋体"/>
                <w:color w:val="auto"/>
                <w:sz w:val="28"/>
                <w:szCs w:val="28"/>
                <w:highlight w:val="none"/>
              </w:rPr>
              <w:t>……</w:t>
            </w:r>
            <w:bookmarkEnd w:id="17"/>
            <w:bookmarkEnd w:id="18"/>
          </w:p>
        </w:tc>
        <w:tc>
          <w:tcPr>
            <w:tcW w:w="2160" w:type="pct"/>
            <w:noWrap w:val="0"/>
            <w:vAlign w:val="center"/>
          </w:tcPr>
          <w:p w14:paraId="51E7FCCB">
            <w:pPr>
              <w:contextualSpacing/>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w:t>
            </w:r>
          </w:p>
        </w:tc>
      </w:tr>
    </w:tbl>
    <w:p w14:paraId="661D1B54">
      <w:pPr>
        <w:spacing w:line="400" w:lineRule="exact"/>
        <w:ind w:firstLine="420"/>
        <w:rPr>
          <w:rFonts w:hint="eastAsia" w:ascii="宋体" w:hAnsi="宋体" w:eastAsia="宋体" w:cs="宋体"/>
          <w:sz w:val="24"/>
          <w:highlight w:val="none"/>
        </w:rPr>
      </w:pPr>
      <w:r>
        <w:rPr>
          <w:rFonts w:hint="eastAsia" w:ascii="宋体" w:hAnsi="宋体" w:eastAsia="宋体" w:cs="宋体"/>
          <w:sz w:val="24"/>
          <w:highlight w:val="none"/>
        </w:rPr>
        <w:t>注：供应商可根据情况自行调整格式。</w:t>
      </w:r>
    </w:p>
    <w:p w14:paraId="6A3A6D91">
      <w:pPr>
        <w:rPr>
          <w:rFonts w:hint="eastAsia" w:ascii="宋体" w:hAnsi="宋体" w:eastAsia="宋体" w:cs="宋体"/>
          <w:b/>
          <w:bCs/>
          <w:snapToGrid w:val="0"/>
          <w:color w:val="auto"/>
          <w:kern w:val="0"/>
          <w:sz w:val="24"/>
          <w:szCs w:val="24"/>
          <w:highlight w:val="none"/>
          <w:lang w:bidi="en-US"/>
        </w:rPr>
      </w:pPr>
      <w:r>
        <w:rPr>
          <w:rFonts w:hint="eastAsia" w:ascii="宋体" w:hAnsi="宋体" w:eastAsia="宋体" w:cs="宋体"/>
          <w:b/>
          <w:bCs/>
          <w:snapToGrid w:val="0"/>
          <w:color w:val="auto"/>
          <w:kern w:val="0"/>
          <w:sz w:val="24"/>
          <w:szCs w:val="24"/>
          <w:highlight w:val="none"/>
          <w:lang w:bidi="en-US"/>
        </w:rPr>
        <w:br w:type="page"/>
      </w:r>
    </w:p>
    <w:p w14:paraId="2ADE55FC">
      <w:pPr>
        <w:snapToGrid w:val="0"/>
        <w:spacing w:line="360" w:lineRule="auto"/>
        <w:ind w:firstLine="482"/>
        <w:jc w:val="center"/>
        <w:rPr>
          <w:rFonts w:hint="eastAsia" w:ascii="宋体" w:hAnsi="宋体" w:eastAsia="宋体" w:cs="宋体"/>
          <w:b/>
          <w:bCs/>
          <w:snapToGrid w:val="0"/>
          <w:color w:val="auto"/>
          <w:kern w:val="0"/>
          <w:sz w:val="24"/>
          <w:szCs w:val="24"/>
          <w:highlight w:val="none"/>
          <w:lang w:bidi="en-US"/>
        </w:rPr>
      </w:pPr>
      <w:r>
        <w:rPr>
          <w:rFonts w:hint="eastAsia" w:ascii="宋体" w:hAnsi="宋体" w:eastAsia="宋体" w:cs="宋体"/>
          <w:b/>
          <w:bCs/>
          <w:snapToGrid w:val="0"/>
          <w:color w:val="auto"/>
          <w:kern w:val="0"/>
          <w:sz w:val="24"/>
          <w:szCs w:val="24"/>
          <w:highlight w:val="none"/>
          <w:lang w:bidi="en-US"/>
        </w:rPr>
        <w:t>应商资格提交审查资料要求</w:t>
      </w:r>
    </w:p>
    <w:p w14:paraId="49EF23B2">
      <w:pPr>
        <w:snapToGrid w:val="0"/>
        <w:spacing w:line="360" w:lineRule="auto"/>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t>附件1资质要求</w:t>
      </w:r>
    </w:p>
    <w:p w14:paraId="2787D9E7">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1.有效的营业执照复印件或影印件，并加盖单位公章</w:t>
      </w:r>
      <w:r>
        <w:rPr>
          <w:rFonts w:hint="eastAsia" w:ascii="宋体" w:hAnsi="宋体" w:eastAsia="宋体" w:cs="宋体"/>
          <w:color w:val="auto"/>
          <w:sz w:val="24"/>
          <w:szCs w:val="24"/>
          <w:highlight w:val="none"/>
          <w:lang w:eastAsia="zh-CN"/>
        </w:rPr>
        <w:t>。</w:t>
      </w:r>
    </w:p>
    <w:p w14:paraId="757BFC70">
      <w:pPr>
        <w:spacing w:line="360" w:lineRule="auto"/>
        <w:rPr>
          <w:rFonts w:hint="eastAsia" w:ascii="宋体" w:hAnsi="宋体" w:eastAsia="宋体" w:cs="宋体"/>
          <w:color w:val="auto"/>
          <w:sz w:val="24"/>
          <w:szCs w:val="24"/>
          <w:highlight w:val="none"/>
        </w:rPr>
      </w:pPr>
    </w:p>
    <w:p w14:paraId="4C495125">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2.有效的道路运输经营许可证；（提供相关证件扫描件）</w:t>
      </w:r>
      <w:r>
        <w:rPr>
          <w:rFonts w:hint="eastAsia" w:ascii="宋体" w:hAnsi="宋体" w:eastAsia="宋体" w:cs="宋体"/>
          <w:color w:val="auto"/>
          <w:sz w:val="24"/>
          <w:szCs w:val="24"/>
          <w:highlight w:val="none"/>
          <w:lang w:eastAsia="zh-CN"/>
        </w:rPr>
        <w:t>。</w:t>
      </w:r>
    </w:p>
    <w:p w14:paraId="3F4D51D5">
      <w:pPr>
        <w:spacing w:line="360" w:lineRule="auto"/>
        <w:rPr>
          <w:rFonts w:hint="eastAsia" w:ascii="宋体" w:hAnsi="宋体" w:eastAsia="宋体" w:cs="宋体"/>
          <w:color w:val="auto"/>
          <w:sz w:val="24"/>
          <w:szCs w:val="24"/>
          <w:highlight w:val="none"/>
        </w:rPr>
      </w:pPr>
    </w:p>
    <w:p w14:paraId="5010FFBB">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3.具有一般纳税人证明，可以开具增值税专用发票，发票税率要求为9%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证明材料要求：供应商须提供有效期内的一般纳税人资格证明，或提供近一个月内开具与本项目</w:t>
      </w:r>
      <w:r>
        <w:rPr>
          <w:rFonts w:hint="eastAsia" w:ascii="宋体" w:hAnsi="宋体" w:eastAsia="宋体" w:cs="宋体"/>
          <w:color w:val="auto"/>
          <w:sz w:val="24"/>
          <w:szCs w:val="24"/>
          <w:highlight w:val="none"/>
          <w:lang w:val="en-US" w:eastAsia="zh-CN"/>
        </w:rPr>
        <w:t>相同</w:t>
      </w:r>
      <w:r>
        <w:rPr>
          <w:rFonts w:hint="eastAsia" w:ascii="宋体" w:hAnsi="宋体" w:eastAsia="宋体" w:cs="宋体"/>
          <w:color w:val="auto"/>
          <w:sz w:val="24"/>
          <w:szCs w:val="24"/>
          <w:highlight w:val="none"/>
        </w:rPr>
        <w:t>税率</w:t>
      </w:r>
      <w:r>
        <w:rPr>
          <w:rFonts w:hint="eastAsia" w:ascii="宋体" w:hAnsi="宋体" w:eastAsia="宋体" w:cs="宋体"/>
          <w:color w:val="auto"/>
          <w:sz w:val="24"/>
          <w:szCs w:val="24"/>
          <w:highlight w:val="none"/>
          <w:lang w:val="en-US" w:eastAsia="zh-CN"/>
        </w:rPr>
        <w:t>要求的</w:t>
      </w:r>
      <w:r>
        <w:rPr>
          <w:rFonts w:hint="eastAsia" w:ascii="宋体" w:hAnsi="宋体" w:eastAsia="宋体" w:cs="宋体"/>
          <w:color w:val="auto"/>
          <w:sz w:val="24"/>
          <w:szCs w:val="24"/>
          <w:highlight w:val="none"/>
        </w:rPr>
        <w:t>增值税专用发票复印件（</w:t>
      </w:r>
      <w:r>
        <w:rPr>
          <w:rFonts w:hint="eastAsia" w:ascii="宋体" w:hAnsi="宋体" w:eastAsia="宋体" w:cs="宋体"/>
          <w:color w:val="auto"/>
          <w:sz w:val="24"/>
          <w:szCs w:val="24"/>
          <w:highlight w:val="none"/>
          <w:lang w:val="en-US" w:eastAsia="zh-CN"/>
        </w:rPr>
        <w:t>发票须真实有效，优先提供</w:t>
      </w:r>
      <w:r>
        <w:rPr>
          <w:rFonts w:hint="eastAsia" w:ascii="宋体" w:hAnsi="宋体" w:eastAsia="宋体" w:cs="宋体"/>
          <w:color w:val="auto"/>
          <w:sz w:val="24"/>
          <w:szCs w:val="24"/>
          <w:highlight w:val="none"/>
        </w:rPr>
        <w:t>从税务系统下载</w:t>
      </w:r>
      <w:r>
        <w:rPr>
          <w:rFonts w:hint="eastAsia" w:ascii="宋体" w:hAnsi="宋体" w:eastAsia="宋体" w:cs="宋体"/>
          <w:color w:val="auto"/>
          <w:sz w:val="24"/>
          <w:szCs w:val="24"/>
          <w:highlight w:val="none"/>
          <w:lang w:val="en-US" w:eastAsia="zh-CN"/>
        </w:rPr>
        <w:t>的版本，提供</w:t>
      </w:r>
      <w:r>
        <w:rPr>
          <w:rFonts w:hint="eastAsia" w:ascii="宋体" w:hAnsi="宋体" w:eastAsia="宋体" w:cs="宋体"/>
          <w:color w:val="auto"/>
          <w:sz w:val="24"/>
          <w:szCs w:val="24"/>
          <w:highlight w:val="none"/>
        </w:rPr>
        <w:t>纸质发票</w:t>
      </w:r>
      <w:r>
        <w:rPr>
          <w:rFonts w:hint="eastAsia" w:ascii="宋体" w:hAnsi="宋体" w:eastAsia="宋体" w:cs="宋体"/>
          <w:color w:val="auto"/>
          <w:sz w:val="24"/>
          <w:szCs w:val="24"/>
          <w:highlight w:val="none"/>
          <w:lang w:val="en-US" w:eastAsia="zh-CN"/>
        </w:rPr>
        <w:t>的要确保能检核通过）。</w:t>
      </w:r>
    </w:p>
    <w:p w14:paraId="7362E07F">
      <w:pPr>
        <w:snapToGrid w:val="0"/>
        <w:spacing w:line="360" w:lineRule="auto"/>
        <w:rPr>
          <w:rFonts w:hint="eastAsia" w:ascii="宋体" w:hAnsi="宋体" w:eastAsia="宋体" w:cs="宋体"/>
          <w:color w:val="auto"/>
          <w:sz w:val="24"/>
          <w:szCs w:val="24"/>
          <w:highlight w:val="none"/>
          <w:lang w:val="en-US" w:eastAsia="zh-CN"/>
        </w:rPr>
      </w:pPr>
    </w:p>
    <w:p w14:paraId="2E7507B3">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4.供应商须购买全年货物运输保险，保额不得低于200万元；也可以每台车分别购买货物运输险（年度）累计达到200万元；（提供相关保险证明材料）。（注：单次运输的货物运输保险不计入）（</w:t>
      </w:r>
      <w:r>
        <w:rPr>
          <w:rFonts w:hint="eastAsia" w:ascii="宋体" w:hAnsi="宋体" w:eastAsia="宋体" w:cs="宋体"/>
          <w:bCs/>
          <w:snapToGrid w:val="0"/>
          <w:color w:val="auto"/>
          <w:kern w:val="0"/>
          <w:sz w:val="24"/>
          <w:szCs w:val="24"/>
          <w:highlight w:val="none"/>
          <w:lang w:val="en-US" w:eastAsia="zh-CN"/>
        </w:rPr>
        <w:t>格式自拟）</w:t>
      </w:r>
    </w:p>
    <w:p w14:paraId="6CB894A4">
      <w:pPr>
        <w:rPr>
          <w:rFonts w:hint="eastAsia" w:ascii="宋体" w:hAnsi="宋体" w:eastAsia="宋体" w:cs="宋体"/>
          <w:color w:val="auto"/>
          <w:sz w:val="24"/>
          <w:szCs w:val="24"/>
          <w:highlight w:val="none"/>
          <w:lang w:val="en-US" w:eastAsia="zh-CN"/>
        </w:rPr>
      </w:pPr>
      <w:r>
        <w:rPr>
          <w:rFonts w:hint="eastAsia" w:ascii="宋体" w:hAnsi="宋体" w:eastAsia="宋体" w:cs="宋体"/>
          <w:b/>
          <w:bCs/>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2</w:t>
      </w:r>
      <w:r>
        <w:rPr>
          <w:rFonts w:hint="eastAsia" w:ascii="宋体" w:hAnsi="宋体" w:eastAsia="宋体" w:cs="宋体"/>
          <w:b/>
          <w:bCs/>
          <w:color w:val="auto"/>
          <w:sz w:val="24"/>
          <w:szCs w:val="24"/>
          <w:highlight w:val="none"/>
        </w:rPr>
        <w:t>财务要求</w:t>
      </w:r>
    </w:p>
    <w:p w14:paraId="596B3396">
      <w:pPr>
        <w:snapToGrid w:val="0"/>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1.近三年财务状况统计表：</w:t>
      </w:r>
    </w:p>
    <w:p w14:paraId="6EF87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sz w:val="24"/>
          <w:szCs w:val="21"/>
          <w:highlight w:val="none"/>
          <w:lang w:val="en-US" w:eastAsia="zh-CN"/>
        </w:rPr>
        <w:t>近三年</w:t>
      </w:r>
      <w:r>
        <w:rPr>
          <w:rFonts w:hint="eastAsia" w:ascii="宋体" w:hAnsi="宋体" w:eastAsia="宋体" w:cs="宋体"/>
          <w:b/>
          <w:color w:val="auto"/>
          <w:sz w:val="24"/>
          <w:szCs w:val="21"/>
          <w:highlight w:val="none"/>
        </w:rPr>
        <w:t>财务状况表</w:t>
      </w:r>
      <w:r>
        <w:rPr>
          <w:rFonts w:hint="eastAsia" w:ascii="宋体" w:hAnsi="宋体" w:eastAsia="宋体" w:cs="宋体"/>
          <w:b/>
          <w:color w:val="auto"/>
          <w:sz w:val="24"/>
          <w:szCs w:val="21"/>
          <w:highlight w:val="none"/>
          <w:lang w:eastAsia="zh-CN"/>
        </w:rPr>
        <w:t>（</w:t>
      </w:r>
      <w:r>
        <w:rPr>
          <w:rFonts w:hint="eastAsia" w:ascii="宋体" w:hAnsi="宋体" w:eastAsia="宋体" w:cs="宋体"/>
          <w:b/>
          <w:color w:val="auto"/>
          <w:sz w:val="24"/>
          <w:szCs w:val="21"/>
          <w:highlight w:val="none"/>
          <w:lang w:val="en-US" w:eastAsia="zh-CN"/>
        </w:rPr>
        <w:t>填写完整</w:t>
      </w:r>
      <w:r>
        <w:rPr>
          <w:rFonts w:hint="eastAsia" w:ascii="宋体" w:hAnsi="宋体" w:eastAsia="宋体" w:cs="宋体"/>
          <w:b/>
          <w:color w:val="auto"/>
          <w:sz w:val="24"/>
          <w:szCs w:val="21"/>
          <w:highlight w:val="none"/>
          <w:lang w:eastAsia="zh-CN"/>
        </w:rPr>
        <w:t>）</w:t>
      </w:r>
    </w:p>
    <w:tbl>
      <w:tblPr>
        <w:tblStyle w:val="3"/>
        <w:tblW w:w="5000" w:type="pct"/>
        <w:jc w:val="center"/>
        <w:tblLayout w:type="autofit"/>
        <w:tblCellMar>
          <w:top w:w="0" w:type="dxa"/>
          <w:left w:w="57" w:type="dxa"/>
          <w:bottom w:w="0" w:type="dxa"/>
          <w:right w:w="57" w:type="dxa"/>
        </w:tblCellMar>
      </w:tblPr>
      <w:tblGrid>
        <w:gridCol w:w="2543"/>
        <w:gridCol w:w="1347"/>
        <w:gridCol w:w="1692"/>
        <w:gridCol w:w="1413"/>
        <w:gridCol w:w="1425"/>
      </w:tblGrid>
      <w:tr w14:paraId="0313713B">
        <w:tblPrEx>
          <w:tblCellMar>
            <w:top w:w="0" w:type="dxa"/>
            <w:left w:w="57" w:type="dxa"/>
            <w:bottom w:w="0" w:type="dxa"/>
            <w:right w:w="57" w:type="dxa"/>
          </w:tblCellMar>
        </w:tblPrEx>
        <w:trPr>
          <w:trHeight w:val="403" w:hRule="exact"/>
          <w:tblHeader/>
          <w:jc w:val="center"/>
        </w:trPr>
        <w:tc>
          <w:tcPr>
            <w:tcW w:w="5000" w:type="pct"/>
            <w:gridSpan w:val="5"/>
            <w:tcBorders>
              <w:top w:val="single" w:color="000000" w:sz="6" w:space="0"/>
              <w:left w:val="single" w:color="000000" w:sz="6" w:space="0"/>
              <w:bottom w:val="single" w:color="000000" w:sz="6" w:space="0"/>
              <w:right w:val="single" w:color="000000" w:sz="6" w:space="0"/>
            </w:tcBorders>
            <w:noWrap w:val="0"/>
            <w:vAlign w:val="center"/>
          </w:tcPr>
          <w:p w14:paraId="551A0B96">
            <w:pPr>
              <w:tabs>
                <w:tab w:val="left" w:pos="860"/>
              </w:tabs>
              <w:autoSpaceDE w:val="0"/>
              <w:autoSpaceDN w:val="0"/>
              <w:adjustRightInd w:val="0"/>
              <w:snapToGrid w:val="0"/>
              <w:jc w:val="left"/>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供应商名称：</w:t>
            </w:r>
          </w:p>
        </w:tc>
      </w:tr>
      <w:tr w14:paraId="2F6FF933">
        <w:tblPrEx>
          <w:tblCellMar>
            <w:top w:w="0" w:type="dxa"/>
            <w:left w:w="57" w:type="dxa"/>
            <w:bottom w:w="0" w:type="dxa"/>
            <w:right w:w="57" w:type="dxa"/>
          </w:tblCellMar>
        </w:tblPrEx>
        <w:trPr>
          <w:trHeight w:val="502" w:hRule="exact"/>
          <w:tblHeader/>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15EF3530">
            <w:pPr>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项目</w:t>
            </w:r>
            <w:r>
              <w:rPr>
                <w:rFonts w:hint="eastAsia" w:ascii="宋体" w:hAnsi="宋体" w:eastAsia="宋体" w:cs="宋体"/>
                <w:b/>
                <w:bCs/>
                <w:color w:val="auto"/>
                <w:spacing w:val="-2"/>
                <w:kern w:val="0"/>
                <w:szCs w:val="21"/>
                <w:highlight w:val="none"/>
              </w:rPr>
              <w:t>或</w:t>
            </w:r>
            <w:r>
              <w:rPr>
                <w:rFonts w:hint="eastAsia" w:ascii="宋体" w:hAnsi="宋体" w:eastAsia="宋体" w:cs="宋体"/>
                <w:b/>
                <w:bCs/>
                <w:color w:val="auto"/>
                <w:kern w:val="0"/>
                <w:szCs w:val="21"/>
                <w:highlight w:val="none"/>
              </w:rPr>
              <w:t>指标</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304D4962">
            <w:pPr>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单位</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4545DE49">
            <w:pPr>
              <w:tabs>
                <w:tab w:val="left" w:pos="860"/>
              </w:tabs>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_____年</w:t>
            </w: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1DB6BA8E">
            <w:pPr>
              <w:tabs>
                <w:tab w:val="left" w:pos="860"/>
              </w:tabs>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_____年</w:t>
            </w: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79A230B5">
            <w:pPr>
              <w:tabs>
                <w:tab w:val="left" w:pos="860"/>
              </w:tabs>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_____年</w:t>
            </w:r>
          </w:p>
        </w:tc>
      </w:tr>
      <w:tr w14:paraId="2A82E1A8">
        <w:tblPrEx>
          <w:tblCellMar>
            <w:top w:w="0" w:type="dxa"/>
            <w:left w:w="57" w:type="dxa"/>
            <w:bottom w:w="0" w:type="dxa"/>
            <w:right w:w="57" w:type="dxa"/>
          </w:tblCellMar>
        </w:tblPrEx>
        <w:trPr>
          <w:trHeight w:val="576"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D0B5A3F">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一、注</w:t>
            </w:r>
            <w:r>
              <w:rPr>
                <w:rFonts w:hint="eastAsia" w:ascii="宋体" w:hAnsi="宋体" w:eastAsia="宋体" w:cs="宋体"/>
                <w:color w:val="auto"/>
                <w:spacing w:val="-2"/>
                <w:kern w:val="0"/>
                <w:szCs w:val="21"/>
                <w:highlight w:val="none"/>
              </w:rPr>
              <w:t>册</w:t>
            </w:r>
            <w:r>
              <w:rPr>
                <w:rFonts w:hint="eastAsia" w:ascii="宋体" w:hAnsi="宋体" w:eastAsia="宋体" w:cs="宋体"/>
                <w:color w:val="auto"/>
                <w:kern w:val="0"/>
                <w:szCs w:val="21"/>
                <w:highlight w:val="none"/>
              </w:rPr>
              <w:t>资本</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39284128">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2689F920">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19BF969E">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107310F7">
            <w:pPr>
              <w:autoSpaceDE w:val="0"/>
              <w:autoSpaceDN w:val="0"/>
              <w:adjustRightInd w:val="0"/>
              <w:snapToGrid w:val="0"/>
              <w:jc w:val="center"/>
              <w:rPr>
                <w:rFonts w:hint="eastAsia" w:ascii="宋体" w:hAnsi="宋体" w:eastAsia="宋体" w:cs="宋体"/>
                <w:color w:val="auto"/>
                <w:kern w:val="0"/>
                <w:szCs w:val="21"/>
                <w:highlight w:val="none"/>
              </w:rPr>
            </w:pPr>
          </w:p>
        </w:tc>
      </w:tr>
      <w:tr w14:paraId="1DB47B6A">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6731112A">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二、净</w:t>
            </w:r>
            <w:r>
              <w:rPr>
                <w:rFonts w:hint="eastAsia" w:ascii="宋体" w:hAnsi="宋体" w:eastAsia="宋体" w:cs="宋体"/>
                <w:color w:val="auto"/>
                <w:spacing w:val="-2"/>
                <w:kern w:val="0"/>
                <w:szCs w:val="21"/>
                <w:highlight w:val="none"/>
              </w:rPr>
              <w:t>资</w:t>
            </w:r>
            <w:r>
              <w:rPr>
                <w:rFonts w:hint="eastAsia" w:ascii="宋体" w:hAnsi="宋体" w:eastAsia="宋体" w:cs="宋体"/>
                <w:color w:val="auto"/>
                <w:kern w:val="0"/>
                <w:szCs w:val="21"/>
                <w:highlight w:val="none"/>
              </w:rPr>
              <w:t>产</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206D7018">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3AD8C4D9">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424C46B8">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2F35FA32">
            <w:pPr>
              <w:autoSpaceDE w:val="0"/>
              <w:autoSpaceDN w:val="0"/>
              <w:adjustRightInd w:val="0"/>
              <w:snapToGrid w:val="0"/>
              <w:jc w:val="center"/>
              <w:rPr>
                <w:rFonts w:hint="eastAsia" w:ascii="宋体" w:hAnsi="宋体" w:eastAsia="宋体" w:cs="宋体"/>
                <w:color w:val="auto"/>
                <w:kern w:val="0"/>
                <w:szCs w:val="21"/>
                <w:highlight w:val="none"/>
              </w:rPr>
            </w:pPr>
          </w:p>
        </w:tc>
      </w:tr>
      <w:tr w14:paraId="53C8EAB9">
        <w:tblPrEx>
          <w:tblCellMar>
            <w:top w:w="0" w:type="dxa"/>
            <w:left w:w="57" w:type="dxa"/>
            <w:bottom w:w="0" w:type="dxa"/>
            <w:right w:w="57" w:type="dxa"/>
          </w:tblCellMar>
        </w:tblPrEx>
        <w:trPr>
          <w:trHeight w:val="576"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0E0B7613">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三、总</w:t>
            </w:r>
            <w:r>
              <w:rPr>
                <w:rFonts w:hint="eastAsia" w:ascii="宋体" w:hAnsi="宋体" w:eastAsia="宋体" w:cs="宋体"/>
                <w:color w:val="auto"/>
                <w:spacing w:val="-2"/>
                <w:kern w:val="0"/>
                <w:szCs w:val="21"/>
                <w:highlight w:val="none"/>
              </w:rPr>
              <w:t>资</w:t>
            </w:r>
            <w:r>
              <w:rPr>
                <w:rFonts w:hint="eastAsia" w:ascii="宋体" w:hAnsi="宋体" w:eastAsia="宋体" w:cs="宋体"/>
                <w:color w:val="auto"/>
                <w:kern w:val="0"/>
                <w:szCs w:val="21"/>
                <w:highlight w:val="none"/>
              </w:rPr>
              <w:t>产</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0D03BD5E">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5D18D2C7">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3BF6836B">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7C3FBD36">
            <w:pPr>
              <w:autoSpaceDE w:val="0"/>
              <w:autoSpaceDN w:val="0"/>
              <w:adjustRightInd w:val="0"/>
              <w:snapToGrid w:val="0"/>
              <w:jc w:val="center"/>
              <w:rPr>
                <w:rFonts w:hint="eastAsia" w:ascii="宋体" w:hAnsi="宋体" w:eastAsia="宋体" w:cs="宋体"/>
                <w:color w:val="auto"/>
                <w:kern w:val="0"/>
                <w:szCs w:val="21"/>
                <w:highlight w:val="none"/>
              </w:rPr>
            </w:pPr>
          </w:p>
        </w:tc>
      </w:tr>
      <w:tr w14:paraId="3522C005">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46231535">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四</w:t>
            </w:r>
            <w:r>
              <w:rPr>
                <w:rFonts w:hint="eastAsia" w:ascii="宋体" w:hAnsi="宋体" w:eastAsia="宋体" w:cs="宋体"/>
                <w:color w:val="auto"/>
                <w:kern w:val="0"/>
                <w:szCs w:val="21"/>
                <w:highlight w:val="none"/>
              </w:rPr>
              <w:t>、负</w:t>
            </w:r>
            <w:r>
              <w:rPr>
                <w:rFonts w:hint="eastAsia" w:ascii="宋体" w:hAnsi="宋体" w:eastAsia="宋体" w:cs="宋体"/>
                <w:color w:val="auto"/>
                <w:spacing w:val="-2"/>
                <w:kern w:val="0"/>
                <w:szCs w:val="21"/>
                <w:highlight w:val="none"/>
              </w:rPr>
              <w:t>债</w:t>
            </w:r>
            <w:r>
              <w:rPr>
                <w:rFonts w:hint="eastAsia" w:ascii="宋体" w:hAnsi="宋体" w:eastAsia="宋体" w:cs="宋体"/>
                <w:color w:val="auto"/>
                <w:kern w:val="0"/>
                <w:szCs w:val="21"/>
                <w:highlight w:val="none"/>
              </w:rPr>
              <w:t>合计</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24A5DFF1">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0E348A13">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36D1C2DF">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446517D4">
            <w:pPr>
              <w:autoSpaceDE w:val="0"/>
              <w:autoSpaceDN w:val="0"/>
              <w:adjustRightInd w:val="0"/>
              <w:snapToGrid w:val="0"/>
              <w:jc w:val="center"/>
              <w:rPr>
                <w:rFonts w:hint="eastAsia" w:ascii="宋体" w:hAnsi="宋体" w:eastAsia="宋体" w:cs="宋体"/>
                <w:color w:val="auto"/>
                <w:kern w:val="0"/>
                <w:szCs w:val="21"/>
                <w:highlight w:val="none"/>
              </w:rPr>
            </w:pPr>
          </w:p>
        </w:tc>
      </w:tr>
      <w:tr w14:paraId="4C6C1F8B">
        <w:tblPrEx>
          <w:tblCellMar>
            <w:top w:w="0" w:type="dxa"/>
            <w:left w:w="57" w:type="dxa"/>
            <w:bottom w:w="0" w:type="dxa"/>
            <w:right w:w="57" w:type="dxa"/>
          </w:tblCellMar>
        </w:tblPrEx>
        <w:trPr>
          <w:trHeight w:val="576"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39FB5323">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五</w:t>
            </w:r>
            <w:r>
              <w:rPr>
                <w:rFonts w:hint="eastAsia" w:ascii="宋体" w:hAnsi="宋体" w:eastAsia="宋体" w:cs="宋体"/>
                <w:color w:val="auto"/>
                <w:kern w:val="0"/>
                <w:szCs w:val="21"/>
                <w:highlight w:val="none"/>
              </w:rPr>
              <w:t>、营</w:t>
            </w:r>
            <w:r>
              <w:rPr>
                <w:rFonts w:hint="eastAsia" w:ascii="宋体" w:hAnsi="宋体" w:eastAsia="宋体" w:cs="宋体"/>
                <w:color w:val="auto"/>
                <w:spacing w:val="-2"/>
                <w:kern w:val="0"/>
                <w:szCs w:val="21"/>
                <w:highlight w:val="none"/>
              </w:rPr>
              <w:t>业</w:t>
            </w:r>
            <w:r>
              <w:rPr>
                <w:rFonts w:hint="eastAsia" w:ascii="宋体" w:hAnsi="宋体" w:eastAsia="宋体" w:cs="宋体"/>
                <w:color w:val="auto"/>
                <w:kern w:val="0"/>
                <w:szCs w:val="21"/>
                <w:highlight w:val="none"/>
              </w:rPr>
              <w:t>收入</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3B576DAD">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34E01440">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7AF624EE">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1591D1A4">
            <w:pPr>
              <w:autoSpaceDE w:val="0"/>
              <w:autoSpaceDN w:val="0"/>
              <w:adjustRightInd w:val="0"/>
              <w:snapToGrid w:val="0"/>
              <w:jc w:val="center"/>
              <w:rPr>
                <w:rFonts w:hint="eastAsia" w:ascii="宋体" w:hAnsi="宋体" w:eastAsia="宋体" w:cs="宋体"/>
                <w:color w:val="auto"/>
                <w:kern w:val="0"/>
                <w:szCs w:val="21"/>
                <w:highlight w:val="none"/>
              </w:rPr>
            </w:pPr>
          </w:p>
        </w:tc>
      </w:tr>
      <w:tr w14:paraId="00251D54">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3B1290F">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rPr>
              <w:t>、净</w:t>
            </w:r>
            <w:r>
              <w:rPr>
                <w:rFonts w:hint="eastAsia" w:ascii="宋体" w:hAnsi="宋体" w:eastAsia="宋体" w:cs="宋体"/>
                <w:color w:val="auto"/>
                <w:spacing w:val="-2"/>
                <w:kern w:val="0"/>
                <w:szCs w:val="21"/>
                <w:highlight w:val="none"/>
              </w:rPr>
              <w:t>利</w:t>
            </w:r>
            <w:r>
              <w:rPr>
                <w:rFonts w:hint="eastAsia" w:ascii="宋体" w:hAnsi="宋体" w:eastAsia="宋体" w:cs="宋体"/>
                <w:color w:val="auto"/>
                <w:kern w:val="0"/>
                <w:szCs w:val="21"/>
                <w:highlight w:val="none"/>
              </w:rPr>
              <w:t>润</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78C73EE0">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0DD0AA2F">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04B813F8">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34B6A999">
            <w:pPr>
              <w:autoSpaceDE w:val="0"/>
              <w:autoSpaceDN w:val="0"/>
              <w:adjustRightInd w:val="0"/>
              <w:snapToGrid w:val="0"/>
              <w:jc w:val="center"/>
              <w:rPr>
                <w:rFonts w:hint="eastAsia" w:ascii="宋体" w:hAnsi="宋体" w:eastAsia="宋体" w:cs="宋体"/>
                <w:color w:val="auto"/>
                <w:kern w:val="0"/>
                <w:szCs w:val="21"/>
                <w:highlight w:val="none"/>
              </w:rPr>
            </w:pPr>
          </w:p>
        </w:tc>
      </w:tr>
      <w:tr w14:paraId="16D6C575">
        <w:tblPrEx>
          <w:tblCellMar>
            <w:top w:w="0" w:type="dxa"/>
            <w:left w:w="57" w:type="dxa"/>
            <w:bottom w:w="0" w:type="dxa"/>
            <w:right w:w="57" w:type="dxa"/>
          </w:tblCellMar>
        </w:tblPrEx>
        <w:trPr>
          <w:trHeight w:val="707"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6A9A8287">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lang w:val="en-US" w:eastAsia="zh-CN"/>
              </w:rPr>
              <w:t>七</w:t>
            </w:r>
            <w:r>
              <w:rPr>
                <w:rFonts w:hint="eastAsia" w:ascii="宋体" w:hAnsi="宋体" w:eastAsia="宋体" w:cs="宋体"/>
                <w:b/>
                <w:bCs/>
                <w:color w:val="auto"/>
                <w:kern w:val="0"/>
                <w:szCs w:val="21"/>
                <w:highlight w:val="none"/>
              </w:rPr>
              <w:t>、</w:t>
            </w:r>
            <w:r>
              <w:rPr>
                <w:rFonts w:hint="eastAsia" w:ascii="宋体" w:hAnsi="宋体" w:eastAsia="宋体" w:cs="宋体"/>
                <w:b/>
                <w:bCs/>
                <w:color w:val="auto"/>
                <w:kern w:val="0"/>
                <w:szCs w:val="21"/>
                <w:highlight w:val="none"/>
                <w:lang w:val="en-US" w:eastAsia="zh-CN"/>
              </w:rPr>
              <w:t>经营性现金流量净额</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0FB92857">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008EE1C1">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627ED364">
            <w:pPr>
              <w:autoSpaceDE w:val="0"/>
              <w:autoSpaceDN w:val="0"/>
              <w:adjustRightInd w:val="0"/>
              <w:snapToGrid w:val="0"/>
              <w:jc w:val="center"/>
              <w:rPr>
                <w:rFonts w:hint="eastAsia" w:ascii="宋体" w:hAnsi="宋体" w:eastAsia="宋体" w:cs="宋体"/>
                <w:color w:val="auto"/>
                <w:kern w:val="0"/>
                <w:szCs w:val="21"/>
                <w:highlight w:val="none"/>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5C05BA44">
            <w:pPr>
              <w:autoSpaceDE w:val="0"/>
              <w:autoSpaceDN w:val="0"/>
              <w:adjustRightInd w:val="0"/>
              <w:snapToGrid w:val="0"/>
              <w:jc w:val="center"/>
              <w:rPr>
                <w:rFonts w:hint="eastAsia" w:ascii="宋体" w:hAnsi="宋体" w:eastAsia="宋体" w:cs="宋体"/>
                <w:color w:val="auto"/>
                <w:kern w:val="0"/>
                <w:szCs w:val="21"/>
                <w:highlight w:val="none"/>
              </w:rPr>
            </w:pPr>
          </w:p>
        </w:tc>
      </w:tr>
      <w:tr w14:paraId="4D62DF0E">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1BA8579">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lang w:val="en-US" w:eastAsia="zh-CN"/>
              </w:rPr>
              <w:t>八</w:t>
            </w:r>
            <w:r>
              <w:rPr>
                <w:rFonts w:hint="eastAsia" w:ascii="宋体" w:hAnsi="宋体" w:eastAsia="宋体" w:cs="宋体"/>
                <w:b/>
                <w:bCs/>
                <w:color w:val="auto"/>
                <w:kern w:val="0"/>
                <w:szCs w:val="21"/>
                <w:highlight w:val="none"/>
              </w:rPr>
              <w:t>、资产负债率</w:t>
            </w:r>
          </w:p>
        </w:tc>
        <w:tc>
          <w:tcPr>
            <w:tcW w:w="800" w:type="pct"/>
            <w:tcBorders>
              <w:top w:val="single" w:color="000000" w:sz="6" w:space="0"/>
              <w:left w:val="single" w:color="000000" w:sz="6" w:space="0"/>
              <w:bottom w:val="single" w:color="000000" w:sz="6" w:space="0"/>
              <w:right w:val="single" w:color="000000" w:sz="6" w:space="0"/>
            </w:tcBorders>
            <w:noWrap w:val="0"/>
            <w:vAlign w:val="center"/>
          </w:tcPr>
          <w:p w14:paraId="14340E6F">
            <w:pPr>
              <w:autoSpaceDE w:val="0"/>
              <w:autoSpaceDN w:val="0"/>
              <w:adjustRightInd w:val="0"/>
              <w:snapToGrid w:val="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p>
        </w:tc>
        <w:tc>
          <w:tcPr>
            <w:tcW w:w="1005" w:type="pct"/>
            <w:tcBorders>
              <w:top w:val="single" w:color="000000" w:sz="6" w:space="0"/>
              <w:left w:val="single" w:color="000000" w:sz="6" w:space="0"/>
              <w:bottom w:val="single" w:color="000000" w:sz="6" w:space="0"/>
              <w:right w:val="single" w:color="000000" w:sz="6" w:space="0"/>
            </w:tcBorders>
            <w:noWrap w:val="0"/>
            <w:vAlign w:val="center"/>
          </w:tcPr>
          <w:p w14:paraId="61D2B306">
            <w:pPr>
              <w:autoSpaceDE w:val="0"/>
              <w:autoSpaceDN w:val="0"/>
              <w:adjustRightInd w:val="0"/>
              <w:snapToGrid w:val="0"/>
              <w:jc w:val="center"/>
              <w:rPr>
                <w:rFonts w:hint="eastAsia" w:ascii="宋体" w:hAnsi="宋体" w:eastAsia="宋体" w:cs="宋体"/>
                <w:color w:val="auto"/>
                <w:kern w:val="0"/>
                <w:szCs w:val="21"/>
                <w:highlight w:val="none"/>
                <w:lang w:val="en-US" w:eastAsia="zh-CN"/>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04A4063B">
            <w:pPr>
              <w:autoSpaceDE w:val="0"/>
              <w:autoSpaceDN w:val="0"/>
              <w:adjustRightInd w:val="0"/>
              <w:snapToGrid w:val="0"/>
              <w:jc w:val="center"/>
              <w:rPr>
                <w:rFonts w:hint="eastAsia" w:ascii="宋体" w:hAnsi="宋体" w:eastAsia="宋体" w:cs="宋体"/>
                <w:color w:val="auto"/>
                <w:kern w:val="0"/>
                <w:szCs w:val="21"/>
                <w:highlight w:val="none"/>
                <w:lang w:val="en-US" w:eastAsia="zh-CN"/>
              </w:rPr>
            </w:pPr>
          </w:p>
        </w:tc>
        <w:tc>
          <w:tcPr>
            <w:tcW w:w="844" w:type="pct"/>
            <w:tcBorders>
              <w:top w:val="single" w:color="000000" w:sz="6" w:space="0"/>
              <w:left w:val="single" w:color="000000" w:sz="6" w:space="0"/>
              <w:bottom w:val="single" w:color="000000" w:sz="6" w:space="0"/>
              <w:right w:val="single" w:color="000000" w:sz="6" w:space="0"/>
            </w:tcBorders>
            <w:noWrap w:val="0"/>
            <w:vAlign w:val="center"/>
          </w:tcPr>
          <w:p w14:paraId="11D3EA21">
            <w:pPr>
              <w:autoSpaceDE w:val="0"/>
              <w:autoSpaceDN w:val="0"/>
              <w:adjustRightInd w:val="0"/>
              <w:snapToGrid w:val="0"/>
              <w:jc w:val="center"/>
              <w:rPr>
                <w:rFonts w:hint="eastAsia" w:ascii="宋体" w:hAnsi="宋体" w:eastAsia="宋体" w:cs="宋体"/>
                <w:color w:val="auto"/>
                <w:kern w:val="0"/>
                <w:szCs w:val="21"/>
                <w:highlight w:val="none"/>
                <w:lang w:val="en-US" w:eastAsia="zh-CN"/>
              </w:rPr>
            </w:pPr>
          </w:p>
        </w:tc>
      </w:tr>
      <w:tr w14:paraId="5ABCC79B">
        <w:tblPrEx>
          <w:tblCellMar>
            <w:top w:w="0" w:type="dxa"/>
            <w:left w:w="57" w:type="dxa"/>
            <w:bottom w:w="0" w:type="dxa"/>
            <w:right w:w="57" w:type="dxa"/>
          </w:tblCellMar>
        </w:tblPrEx>
        <w:trPr>
          <w:trHeight w:val="594" w:hRule="exact"/>
          <w:jc w:val="center"/>
        </w:trPr>
        <w:tc>
          <w:tcPr>
            <w:tcW w:w="5000" w:type="pct"/>
            <w:gridSpan w:val="5"/>
            <w:tcBorders>
              <w:top w:val="single" w:color="000000" w:sz="6" w:space="0"/>
              <w:left w:val="single" w:color="000000" w:sz="6" w:space="0"/>
              <w:bottom w:val="single" w:color="000000" w:sz="6" w:space="0"/>
              <w:right w:val="single" w:color="000000" w:sz="6" w:space="0"/>
            </w:tcBorders>
            <w:noWrap w:val="0"/>
            <w:vAlign w:val="center"/>
          </w:tcPr>
          <w:p w14:paraId="1F66A0FA">
            <w:pPr>
              <w:keepNext w:val="0"/>
              <w:keepLines w:val="0"/>
              <w:pageBreakBefore w:val="0"/>
              <w:widowControl w:val="0"/>
              <w:kinsoku/>
              <w:wordWrap/>
              <w:overflowPunct/>
              <w:topLinePunct w:val="0"/>
              <w:autoSpaceDE w:val="0"/>
              <w:autoSpaceDN w:val="0"/>
              <w:bidi w:val="0"/>
              <w:adjustRightInd w:val="0"/>
              <w:snapToGrid w:val="0"/>
              <w:ind w:firstLine="0" w:firstLineChars="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财务专用章（盖章）：</w:t>
            </w:r>
          </w:p>
        </w:tc>
      </w:tr>
      <w:tr w14:paraId="45974A84">
        <w:tblPrEx>
          <w:tblCellMar>
            <w:top w:w="0" w:type="dxa"/>
            <w:left w:w="57" w:type="dxa"/>
            <w:bottom w:w="0" w:type="dxa"/>
            <w:right w:w="57" w:type="dxa"/>
          </w:tblCellMar>
        </w:tblPrEx>
        <w:trPr>
          <w:trHeight w:val="560" w:hRule="exact"/>
          <w:jc w:val="center"/>
        </w:trPr>
        <w:tc>
          <w:tcPr>
            <w:tcW w:w="5000" w:type="pct"/>
            <w:gridSpan w:val="5"/>
            <w:tcBorders>
              <w:top w:val="single" w:color="000000" w:sz="6" w:space="0"/>
              <w:left w:val="single" w:color="000000" w:sz="6" w:space="0"/>
              <w:bottom w:val="single" w:color="000000" w:sz="6" w:space="0"/>
              <w:right w:val="single" w:color="000000" w:sz="6" w:space="0"/>
            </w:tcBorders>
            <w:noWrap w:val="0"/>
            <w:vAlign w:val="center"/>
          </w:tcPr>
          <w:p w14:paraId="3949F11E">
            <w:pPr>
              <w:keepNext w:val="0"/>
              <w:keepLines w:val="0"/>
              <w:pageBreakBefore w:val="0"/>
              <w:widowControl w:val="0"/>
              <w:kinsoku/>
              <w:wordWrap/>
              <w:overflowPunct/>
              <w:topLinePunct w:val="0"/>
              <w:autoSpaceDE w:val="0"/>
              <w:autoSpaceDN w:val="0"/>
              <w:bidi w:val="0"/>
              <w:adjustRightInd w:val="0"/>
              <w:snapToGrid w:val="0"/>
              <w:ind w:firstLine="0" w:firstLineChars="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财务负责人签字：</w:t>
            </w:r>
          </w:p>
        </w:tc>
      </w:tr>
    </w:tbl>
    <w:p w14:paraId="05006200">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近三年</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经营性现金流量表复印件</w:t>
      </w:r>
      <w:r>
        <w:rPr>
          <w:rFonts w:hint="eastAsia" w:ascii="宋体" w:hAnsi="宋体" w:eastAsia="宋体" w:cs="宋体"/>
          <w:color w:val="auto"/>
          <w:sz w:val="24"/>
          <w:szCs w:val="24"/>
          <w:highlight w:val="none"/>
        </w:rPr>
        <w:t>并由财务负责人签字及加盖财务专用章</w:t>
      </w:r>
      <w:r>
        <w:rPr>
          <w:rFonts w:hint="eastAsia" w:ascii="宋体" w:hAnsi="宋体" w:eastAsia="宋体" w:cs="宋体"/>
          <w:color w:val="auto"/>
          <w:sz w:val="24"/>
          <w:szCs w:val="24"/>
          <w:highlight w:val="none"/>
          <w:lang w:val="en-US" w:eastAsia="zh-CN"/>
        </w:rPr>
        <w:t>；（中粮粮谷包50-74不适用本条要求）（</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val="en-US" w:eastAsia="zh-CN"/>
        </w:rPr>
        <w:t>）；</w:t>
      </w:r>
    </w:p>
    <w:p w14:paraId="27E24623">
      <w:pPr>
        <w:keepNext w:val="0"/>
        <w:keepLines w:val="0"/>
        <w:pageBreakBefore w:val="0"/>
        <w:widowControl w:val="0"/>
        <w:kinsoku/>
        <w:wordWrap/>
        <w:overflowPunct/>
        <w:topLinePunct w:val="0"/>
        <w:autoSpaceDE/>
        <w:autoSpaceDN/>
        <w:bidi w:val="0"/>
        <w:adjustRightInd/>
        <w:snapToGrid w:val="0"/>
        <w:spacing w:before="313" w:beforeLines="100" w:line="360" w:lineRule="auto"/>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提供202</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年度末的资产负债率说明并由财务负责人签字及加盖财务专用章</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lang w:eastAsia="zh-CN"/>
        </w:rPr>
        <w:t>；</w:t>
      </w:r>
    </w:p>
    <w:p w14:paraId="394C0823">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4.其他财务说明以或履约担保函相关材料（要求详见谈判公告，</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val="en-US" w:eastAsia="zh-CN"/>
        </w:rPr>
        <w:t>）。</w:t>
      </w:r>
    </w:p>
    <w:p w14:paraId="2E65E563">
      <w:pPr>
        <w:rPr>
          <w:rFonts w:hint="eastAsia" w:ascii="宋体" w:hAnsi="宋体" w:eastAsia="宋体" w:cs="宋体"/>
          <w:b/>
          <w:bCs/>
          <w:snapToGrid w:val="0"/>
          <w:color w:val="auto"/>
          <w:kern w:val="0"/>
          <w:sz w:val="24"/>
          <w:highlight w:val="none"/>
          <w:lang w:eastAsia="zh-CN" w:bidi="en-US"/>
        </w:rPr>
      </w:pPr>
      <w:r>
        <w:rPr>
          <w:rFonts w:hint="eastAsia" w:ascii="宋体" w:hAnsi="宋体" w:eastAsia="宋体" w:cs="宋体"/>
          <w:b w:val="0"/>
          <w:bCs w:val="0"/>
          <w:snapToGrid w:val="0"/>
          <w:color w:val="auto"/>
          <w:kern w:val="0"/>
          <w:sz w:val="24"/>
          <w:highlight w:val="none"/>
          <w:lang w:val="en-US" w:eastAsia="zh-CN"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3</w:t>
      </w:r>
      <w:r>
        <w:rPr>
          <w:rFonts w:hint="eastAsia" w:ascii="宋体" w:hAnsi="宋体" w:eastAsia="宋体" w:cs="宋体"/>
          <w:b/>
          <w:bCs/>
          <w:color w:val="auto"/>
          <w:sz w:val="24"/>
          <w:szCs w:val="24"/>
          <w:highlight w:val="none"/>
          <w:lang w:val="en-US" w:eastAsia="zh-CN"/>
        </w:rPr>
        <w:t>业绩</w:t>
      </w:r>
      <w:r>
        <w:rPr>
          <w:rFonts w:hint="eastAsia" w:ascii="宋体" w:hAnsi="宋体" w:eastAsia="宋体" w:cs="宋体"/>
          <w:b/>
          <w:bCs/>
          <w:color w:val="auto"/>
          <w:sz w:val="24"/>
          <w:szCs w:val="24"/>
          <w:highlight w:val="none"/>
        </w:rPr>
        <w:t>要求</w:t>
      </w:r>
      <w:r>
        <w:rPr>
          <w:rFonts w:hint="eastAsia" w:ascii="宋体" w:hAnsi="宋体" w:eastAsia="宋体" w:cs="宋体"/>
          <w:b/>
          <w:bCs/>
          <w:color w:val="auto"/>
          <w:sz w:val="24"/>
          <w:szCs w:val="24"/>
          <w:highlight w:val="none"/>
          <w:lang w:eastAsia="zh-CN"/>
        </w:rPr>
        <w:t>：</w:t>
      </w:r>
    </w:p>
    <w:p w14:paraId="1E4A56A1">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1.业绩列表：</w:t>
      </w:r>
    </w:p>
    <w:tbl>
      <w:tblPr>
        <w:tblStyle w:val="3"/>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6318"/>
      </w:tblGrid>
      <w:tr w14:paraId="3C28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365" w:type="dxa"/>
            <w:noWrap w:val="0"/>
            <w:vAlign w:val="center"/>
          </w:tcPr>
          <w:p w14:paraId="425867C6">
            <w:pPr>
              <w:topLinePunct/>
              <w:spacing w:line="440" w:lineRule="exact"/>
              <w:contextualSpacing/>
              <w:jc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业绩序号</w:t>
            </w:r>
          </w:p>
        </w:tc>
        <w:tc>
          <w:tcPr>
            <w:tcW w:w="6318" w:type="dxa"/>
            <w:noWrap w:val="0"/>
            <w:vAlign w:val="center"/>
          </w:tcPr>
          <w:p w14:paraId="505AAB3B">
            <w:pPr>
              <w:topLinePunct/>
              <w:spacing w:line="440" w:lineRule="exact"/>
              <w:contextualSpacing/>
              <w:jc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业绩1（个供应商自行修改序号）</w:t>
            </w:r>
          </w:p>
        </w:tc>
      </w:tr>
      <w:tr w14:paraId="11C28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365" w:type="dxa"/>
            <w:noWrap w:val="0"/>
            <w:vAlign w:val="center"/>
          </w:tcPr>
          <w:p w14:paraId="369AC049">
            <w:pPr>
              <w:topLinePunct/>
              <w:spacing w:line="440" w:lineRule="exact"/>
              <w:contextualSpacing/>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资质要求</w:t>
            </w:r>
            <w:r>
              <w:rPr>
                <w:rFonts w:hint="eastAsia" w:ascii="宋体" w:hAnsi="宋体" w:eastAsia="宋体" w:cs="宋体"/>
                <w:b/>
                <w:bCs/>
                <w:color w:val="auto"/>
                <w:szCs w:val="21"/>
                <w:highlight w:val="none"/>
                <w:lang w:val="en-US" w:eastAsia="zh-CN"/>
              </w:rPr>
              <w:t>（通用业绩/专用业绩要求）</w:t>
            </w:r>
          </w:p>
        </w:tc>
        <w:tc>
          <w:tcPr>
            <w:tcW w:w="6318" w:type="dxa"/>
            <w:noWrap w:val="0"/>
            <w:vAlign w:val="center"/>
          </w:tcPr>
          <w:p w14:paraId="7994020B">
            <w:pPr>
              <w:topLinePunct/>
              <w:spacing w:line="440" w:lineRule="exact"/>
              <w:contextualSpacing/>
              <w:jc w:val="center"/>
              <w:rPr>
                <w:rFonts w:hint="eastAsia" w:ascii="宋体" w:hAnsi="宋体" w:eastAsia="宋体" w:cs="宋体"/>
                <w:color w:val="auto"/>
                <w:szCs w:val="21"/>
                <w:highlight w:val="none"/>
                <w:lang w:val="en-US" w:eastAsia="zh-CN"/>
              </w:rPr>
            </w:pPr>
          </w:p>
        </w:tc>
      </w:tr>
      <w:tr w14:paraId="1E0E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365" w:type="dxa"/>
            <w:noWrap w:val="0"/>
            <w:vAlign w:val="center"/>
          </w:tcPr>
          <w:p w14:paraId="4FECDF26">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业绩</w:t>
            </w:r>
            <w:r>
              <w:rPr>
                <w:rFonts w:hint="eastAsia" w:ascii="宋体" w:hAnsi="宋体" w:eastAsia="宋体" w:cs="宋体"/>
                <w:color w:val="auto"/>
                <w:kern w:val="0"/>
                <w:szCs w:val="21"/>
                <w:highlight w:val="none"/>
                <w:lang w:bidi="ar"/>
              </w:rPr>
              <w:t>合同名称</w:t>
            </w:r>
          </w:p>
        </w:tc>
        <w:tc>
          <w:tcPr>
            <w:tcW w:w="6318" w:type="dxa"/>
            <w:noWrap w:val="0"/>
            <w:vAlign w:val="center"/>
          </w:tcPr>
          <w:p w14:paraId="5FA9D545">
            <w:pPr>
              <w:topLinePunct/>
              <w:spacing w:line="440" w:lineRule="exact"/>
              <w:contextualSpacing/>
              <w:rPr>
                <w:rFonts w:hint="eastAsia" w:ascii="宋体" w:hAnsi="宋体" w:eastAsia="宋体" w:cs="宋体"/>
                <w:color w:val="auto"/>
                <w:szCs w:val="21"/>
                <w:highlight w:val="none"/>
              </w:rPr>
            </w:pPr>
          </w:p>
        </w:tc>
      </w:tr>
      <w:tr w14:paraId="4382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365" w:type="dxa"/>
            <w:noWrap w:val="0"/>
            <w:vAlign w:val="center"/>
          </w:tcPr>
          <w:p w14:paraId="21FFA900">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业绩</w:t>
            </w:r>
            <w:r>
              <w:rPr>
                <w:rFonts w:hint="eastAsia" w:ascii="宋体" w:hAnsi="宋体" w:eastAsia="宋体" w:cs="宋体"/>
                <w:color w:val="auto"/>
                <w:szCs w:val="21"/>
                <w:highlight w:val="none"/>
              </w:rPr>
              <w:t>服务运输品类型</w:t>
            </w:r>
          </w:p>
        </w:tc>
        <w:tc>
          <w:tcPr>
            <w:tcW w:w="6318" w:type="dxa"/>
            <w:noWrap w:val="0"/>
            <w:vAlign w:val="center"/>
          </w:tcPr>
          <w:p w14:paraId="142F1131">
            <w:pPr>
              <w:topLinePunct/>
              <w:spacing w:line="440" w:lineRule="exact"/>
              <w:contextualSpacing/>
              <w:rPr>
                <w:rFonts w:hint="eastAsia" w:ascii="宋体" w:hAnsi="宋体" w:eastAsia="宋体" w:cs="宋体"/>
                <w:color w:val="auto"/>
                <w:szCs w:val="21"/>
                <w:highlight w:val="none"/>
              </w:rPr>
            </w:pPr>
          </w:p>
        </w:tc>
      </w:tr>
      <w:tr w14:paraId="220D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365" w:type="dxa"/>
            <w:noWrap w:val="0"/>
            <w:vAlign w:val="center"/>
          </w:tcPr>
          <w:p w14:paraId="05667349">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发包人名称</w:t>
            </w:r>
            <w:r>
              <w:rPr>
                <w:rFonts w:hint="eastAsia" w:ascii="宋体" w:hAnsi="宋体" w:eastAsia="宋体" w:cs="宋体"/>
                <w:color w:val="auto"/>
                <w:szCs w:val="21"/>
                <w:highlight w:val="none"/>
                <w:lang w:val="en-US" w:eastAsia="zh-CN"/>
              </w:rPr>
              <w:t>及电话</w:t>
            </w:r>
          </w:p>
        </w:tc>
        <w:tc>
          <w:tcPr>
            <w:tcW w:w="6318" w:type="dxa"/>
            <w:noWrap w:val="0"/>
            <w:vAlign w:val="center"/>
          </w:tcPr>
          <w:p w14:paraId="73E9476F">
            <w:pPr>
              <w:topLinePunct/>
              <w:spacing w:line="440" w:lineRule="exact"/>
              <w:contextualSpacing/>
              <w:rPr>
                <w:rFonts w:hint="eastAsia" w:ascii="宋体" w:hAnsi="宋体" w:eastAsia="宋体" w:cs="宋体"/>
                <w:color w:val="auto"/>
                <w:szCs w:val="21"/>
                <w:highlight w:val="none"/>
              </w:rPr>
            </w:pPr>
          </w:p>
        </w:tc>
      </w:tr>
      <w:tr w14:paraId="12F7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365" w:type="dxa"/>
            <w:noWrap w:val="0"/>
            <w:vAlign w:val="center"/>
          </w:tcPr>
          <w:p w14:paraId="43631A7A">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合同运输时间</w:t>
            </w:r>
          </w:p>
        </w:tc>
        <w:tc>
          <w:tcPr>
            <w:tcW w:w="6318" w:type="dxa"/>
            <w:noWrap w:val="0"/>
            <w:vAlign w:val="center"/>
          </w:tcPr>
          <w:p w14:paraId="0675753E">
            <w:pPr>
              <w:topLinePunct/>
              <w:spacing w:line="440" w:lineRule="exact"/>
              <w:contextualSpacing/>
              <w:rPr>
                <w:rFonts w:hint="eastAsia" w:ascii="宋体" w:hAnsi="宋体" w:eastAsia="宋体" w:cs="宋体"/>
                <w:color w:val="auto"/>
                <w:szCs w:val="21"/>
                <w:highlight w:val="none"/>
              </w:rPr>
            </w:pPr>
          </w:p>
        </w:tc>
      </w:tr>
      <w:tr w14:paraId="422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365" w:type="dxa"/>
            <w:noWrap w:val="0"/>
            <w:vAlign w:val="center"/>
          </w:tcPr>
          <w:p w14:paraId="6FDCC91C">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合同签订时间</w:t>
            </w:r>
          </w:p>
        </w:tc>
        <w:tc>
          <w:tcPr>
            <w:tcW w:w="6318" w:type="dxa"/>
            <w:noWrap w:val="0"/>
            <w:vAlign w:val="center"/>
          </w:tcPr>
          <w:p w14:paraId="0B07C48C">
            <w:pPr>
              <w:topLinePunct/>
              <w:spacing w:line="440" w:lineRule="exact"/>
              <w:contextualSpacing/>
              <w:rPr>
                <w:rFonts w:hint="eastAsia" w:ascii="宋体" w:hAnsi="宋体" w:eastAsia="宋体" w:cs="宋体"/>
                <w:color w:val="auto"/>
                <w:szCs w:val="21"/>
                <w:highlight w:val="none"/>
              </w:rPr>
            </w:pPr>
          </w:p>
        </w:tc>
      </w:tr>
      <w:tr w14:paraId="07036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365" w:type="dxa"/>
            <w:noWrap w:val="0"/>
            <w:vAlign w:val="center"/>
          </w:tcPr>
          <w:p w14:paraId="14F73155">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项目概况及供应商</w:t>
            </w:r>
          </w:p>
          <w:p w14:paraId="24EC3E45">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履约情况</w:t>
            </w:r>
          </w:p>
        </w:tc>
        <w:tc>
          <w:tcPr>
            <w:tcW w:w="6318" w:type="dxa"/>
            <w:noWrap w:val="0"/>
            <w:vAlign w:val="center"/>
          </w:tcPr>
          <w:p w14:paraId="2149D851">
            <w:pPr>
              <w:topLinePunct/>
              <w:spacing w:line="440" w:lineRule="exact"/>
              <w:contextualSpacing/>
              <w:rPr>
                <w:rFonts w:hint="eastAsia" w:ascii="宋体" w:hAnsi="宋体" w:eastAsia="宋体" w:cs="宋体"/>
                <w:color w:val="auto"/>
                <w:szCs w:val="21"/>
                <w:highlight w:val="none"/>
              </w:rPr>
            </w:pPr>
          </w:p>
          <w:p w14:paraId="756388BC">
            <w:pPr>
              <w:topLinePunct/>
              <w:spacing w:line="440" w:lineRule="exact"/>
              <w:contextualSpacing/>
              <w:rPr>
                <w:rFonts w:hint="eastAsia" w:ascii="宋体" w:hAnsi="宋体" w:eastAsia="宋体" w:cs="宋体"/>
                <w:color w:val="auto"/>
                <w:szCs w:val="21"/>
                <w:highlight w:val="none"/>
              </w:rPr>
            </w:pPr>
          </w:p>
        </w:tc>
      </w:tr>
      <w:tr w14:paraId="4D15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65" w:type="dxa"/>
            <w:noWrap w:val="0"/>
            <w:vAlign w:val="center"/>
          </w:tcPr>
          <w:p w14:paraId="24B7D6D5">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运输金额（发票累计为准）</w:t>
            </w:r>
          </w:p>
        </w:tc>
        <w:tc>
          <w:tcPr>
            <w:tcW w:w="6318" w:type="dxa"/>
            <w:noWrap w:val="0"/>
            <w:vAlign w:val="center"/>
          </w:tcPr>
          <w:p w14:paraId="36DC6C05">
            <w:pPr>
              <w:topLinePunct/>
              <w:spacing w:line="440" w:lineRule="exact"/>
              <w:contextualSpacing/>
              <w:rPr>
                <w:rFonts w:hint="eastAsia" w:ascii="宋体" w:hAnsi="宋体" w:eastAsia="宋体" w:cs="宋体"/>
                <w:color w:val="auto"/>
                <w:szCs w:val="21"/>
                <w:highlight w:val="none"/>
              </w:rPr>
            </w:pPr>
          </w:p>
        </w:tc>
      </w:tr>
    </w:tbl>
    <w:p w14:paraId="1A21E67E">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2.附业绩合同扫描件（格式自拟）：</w:t>
      </w:r>
    </w:p>
    <w:p w14:paraId="0CD98AB5">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3.对应业绩发票信息及发票扫描件：</w:t>
      </w:r>
    </w:p>
    <w:tbl>
      <w:tblPr>
        <w:tblStyle w:val="3"/>
        <w:tblW w:w="4997" w:type="pct"/>
        <w:jc w:val="center"/>
        <w:tblLayout w:type="fixed"/>
        <w:tblCellMar>
          <w:top w:w="0" w:type="dxa"/>
          <w:left w:w="108" w:type="dxa"/>
          <w:bottom w:w="0" w:type="dxa"/>
          <w:right w:w="108" w:type="dxa"/>
        </w:tblCellMar>
      </w:tblPr>
      <w:tblGrid>
        <w:gridCol w:w="712"/>
        <w:gridCol w:w="775"/>
        <w:gridCol w:w="738"/>
        <w:gridCol w:w="912"/>
        <w:gridCol w:w="5380"/>
      </w:tblGrid>
      <w:tr w14:paraId="2FC36C4B">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39278720">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合同名称</w:t>
            </w:r>
          </w:p>
        </w:tc>
        <w:tc>
          <w:tcPr>
            <w:tcW w:w="4582" w:type="pct"/>
            <w:gridSpan w:val="4"/>
            <w:tcBorders>
              <w:top w:val="single" w:color="000000" w:sz="4" w:space="0"/>
              <w:left w:val="single" w:color="000000" w:sz="4" w:space="0"/>
              <w:bottom w:val="single" w:color="000000" w:sz="4" w:space="0"/>
              <w:right w:val="single" w:color="000000" w:sz="4" w:space="0"/>
            </w:tcBorders>
            <w:noWrap/>
            <w:vAlign w:val="center"/>
          </w:tcPr>
          <w:p w14:paraId="07B0BCA5">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 w:val="24"/>
                <w:szCs w:val="24"/>
                <w:highlight w:val="none"/>
              </w:rPr>
            </w:pPr>
          </w:p>
        </w:tc>
      </w:tr>
      <w:tr w14:paraId="447F2C90">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16C0014D">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发票序号</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7683A481">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开票日期</w:t>
            </w: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2029985E">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发票号码</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2C1548EF">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金额（元）</w:t>
            </w:r>
          </w:p>
        </w:tc>
        <w:tc>
          <w:tcPr>
            <w:tcW w:w="3158" w:type="pct"/>
            <w:tcBorders>
              <w:top w:val="single" w:color="000000" w:sz="4" w:space="0"/>
              <w:left w:val="single" w:color="000000" w:sz="4" w:space="0"/>
              <w:bottom w:val="single" w:color="000000" w:sz="4" w:space="0"/>
              <w:right w:val="single" w:color="000000" w:sz="4" w:space="0"/>
            </w:tcBorders>
            <w:noWrap/>
            <w:vAlign w:val="center"/>
          </w:tcPr>
          <w:p w14:paraId="28ED57BD">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发票扫描件</w:t>
            </w:r>
          </w:p>
        </w:tc>
      </w:tr>
      <w:tr w14:paraId="60B8674F">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2C65BB02">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165A6195">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4E494B26">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6B72720B">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8" w:type="pct"/>
            <w:tcBorders>
              <w:top w:val="single" w:color="000000" w:sz="4" w:space="0"/>
              <w:left w:val="single" w:color="000000" w:sz="4" w:space="0"/>
              <w:bottom w:val="single" w:color="000000" w:sz="4" w:space="0"/>
              <w:right w:val="single" w:color="000000" w:sz="4" w:space="0"/>
            </w:tcBorders>
            <w:noWrap/>
            <w:vAlign w:val="center"/>
          </w:tcPr>
          <w:p w14:paraId="2108CA36">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5D7CDB30">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1D4395B2">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2</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5541EC0C">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375C22CE">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56A5AF0">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8" w:type="pct"/>
            <w:tcBorders>
              <w:top w:val="single" w:color="000000" w:sz="4" w:space="0"/>
              <w:left w:val="single" w:color="000000" w:sz="4" w:space="0"/>
              <w:bottom w:val="single" w:color="000000" w:sz="4" w:space="0"/>
              <w:right w:val="single" w:color="000000" w:sz="4" w:space="0"/>
            </w:tcBorders>
            <w:noWrap/>
            <w:vAlign w:val="center"/>
          </w:tcPr>
          <w:p w14:paraId="66838051">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42E7BA89">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11D1B5C3">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3</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65E26AD1">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075B1B38">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62940DCE">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8" w:type="pct"/>
            <w:tcBorders>
              <w:top w:val="single" w:color="000000" w:sz="4" w:space="0"/>
              <w:left w:val="single" w:color="000000" w:sz="4" w:space="0"/>
              <w:bottom w:val="single" w:color="000000" w:sz="4" w:space="0"/>
              <w:right w:val="single" w:color="000000" w:sz="4" w:space="0"/>
            </w:tcBorders>
            <w:noWrap/>
            <w:vAlign w:val="center"/>
          </w:tcPr>
          <w:p w14:paraId="3F0FE7DD">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0236F1B7">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5F914C40">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07169D46">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780F1AAD">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15325EA3">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8" w:type="pct"/>
            <w:tcBorders>
              <w:top w:val="single" w:color="000000" w:sz="4" w:space="0"/>
              <w:left w:val="single" w:color="000000" w:sz="4" w:space="0"/>
              <w:bottom w:val="single" w:color="000000" w:sz="4" w:space="0"/>
              <w:right w:val="single" w:color="000000" w:sz="4" w:space="0"/>
            </w:tcBorders>
            <w:noWrap/>
            <w:vAlign w:val="center"/>
          </w:tcPr>
          <w:p w14:paraId="62EB957D">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4614B466">
        <w:tblPrEx>
          <w:tblCellMar>
            <w:top w:w="0" w:type="dxa"/>
            <w:left w:w="108" w:type="dxa"/>
            <w:bottom w:w="0" w:type="dxa"/>
            <w:right w:w="108" w:type="dxa"/>
          </w:tblCellMar>
        </w:tblPrEx>
        <w:trPr>
          <w:trHeight w:val="440" w:hRule="atLeast"/>
          <w:jc w:val="center"/>
        </w:trPr>
        <w:tc>
          <w:tcPr>
            <w:tcW w:w="1305" w:type="pct"/>
            <w:gridSpan w:val="3"/>
            <w:tcBorders>
              <w:top w:val="single" w:color="000000" w:sz="4" w:space="0"/>
              <w:left w:val="single" w:color="000000" w:sz="4" w:space="0"/>
              <w:bottom w:val="single" w:color="000000" w:sz="4" w:space="0"/>
              <w:right w:val="single" w:color="000000" w:sz="4" w:space="0"/>
            </w:tcBorders>
            <w:noWrap/>
            <w:vAlign w:val="center"/>
          </w:tcPr>
          <w:p w14:paraId="2E286BC8">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b/>
                <w:bCs/>
                <w:color w:val="auto"/>
                <w:kern w:val="0"/>
                <w:szCs w:val="21"/>
                <w:highlight w:val="none"/>
                <w:lang w:bidi="ar"/>
              </w:rPr>
              <w:t>合计金额（元）</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86C85B3">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8" w:type="pct"/>
            <w:tcBorders>
              <w:top w:val="single" w:color="000000" w:sz="4" w:space="0"/>
              <w:left w:val="single" w:color="000000" w:sz="4" w:space="0"/>
              <w:bottom w:val="single" w:color="000000" w:sz="4" w:space="0"/>
              <w:right w:val="single" w:color="000000" w:sz="4" w:space="0"/>
            </w:tcBorders>
            <w:noWrap/>
            <w:vAlign w:val="center"/>
          </w:tcPr>
          <w:p w14:paraId="0FD9800B">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bl>
    <w:p w14:paraId="2F61763E">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提供2023年-2025年运输明细账电脑截图（每年各提供1份任意月份截图，共3份），每页截图均须加盖供应商公章；若供应商成立不满3年，提供成立以来的资料。证明材料要求：提供对应合同下加盖公章的运输明细账截图。</w:t>
      </w:r>
    </w:p>
    <w:p w14:paraId="38D1D6CE">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5.各采购包的专用业绩要求详见公告。</w:t>
      </w:r>
    </w:p>
    <w:p w14:paraId="38E0932C">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注：（1）多个业绩的供应商自行增加；（2）业绩要求详见采购公告。</w:t>
      </w:r>
    </w:p>
    <w:p w14:paraId="446F27EA">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val="0"/>
          <w:bCs w:val="0"/>
          <w:snapToGrid w:val="0"/>
          <w:color w:val="auto"/>
          <w:kern w:val="0"/>
          <w:sz w:val="24"/>
          <w:highlight w:val="none"/>
          <w:lang w:val="en-US" w:eastAsia="zh-CN"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4车辆要求</w:t>
      </w:r>
      <w:r>
        <w:rPr>
          <w:rFonts w:hint="eastAsia" w:ascii="宋体" w:hAnsi="宋体" w:eastAsia="宋体" w:cs="宋体"/>
          <w:b/>
          <w:bCs/>
          <w:snapToGrid w:val="0"/>
          <w:color w:val="auto"/>
          <w:kern w:val="0"/>
          <w:sz w:val="24"/>
          <w:highlight w:val="none"/>
          <w:lang w:bidi="en-US"/>
        </w:rPr>
        <w:t>：</w:t>
      </w:r>
    </w:p>
    <w:p w14:paraId="01EC0B23">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1.承诺函</w:t>
      </w:r>
    </w:p>
    <w:p w14:paraId="55459535">
      <w:pPr>
        <w:widowControl/>
        <w:spacing w:line="360" w:lineRule="auto"/>
        <w:ind w:firstLine="422" w:firstLineChars="200"/>
        <w:jc w:val="center"/>
        <w:rPr>
          <w:rFonts w:hint="eastAsia" w:ascii="宋体" w:hAnsi="宋体" w:eastAsia="宋体" w:cs="宋体"/>
          <w:color w:val="auto"/>
          <w:kern w:val="0"/>
          <w:szCs w:val="21"/>
          <w:highlight w:val="none"/>
          <w:lang w:bidi="ar"/>
        </w:rPr>
      </w:pPr>
      <w:r>
        <w:rPr>
          <w:rFonts w:hint="eastAsia" w:ascii="宋体" w:hAnsi="宋体" w:eastAsia="宋体" w:cs="宋体"/>
          <w:b/>
          <w:bCs/>
          <w:color w:val="auto"/>
          <w:szCs w:val="21"/>
          <w:highlight w:val="none"/>
          <w:lang w:val="en-US" w:eastAsia="zh-CN" w:bidi="ar"/>
        </w:rPr>
        <w:t>车辆</w:t>
      </w:r>
      <w:r>
        <w:rPr>
          <w:rFonts w:hint="eastAsia" w:ascii="宋体" w:hAnsi="宋体" w:eastAsia="宋体" w:cs="宋体"/>
          <w:b/>
          <w:bCs/>
          <w:color w:val="auto"/>
          <w:szCs w:val="21"/>
          <w:highlight w:val="none"/>
          <w:lang w:bidi="ar"/>
        </w:rPr>
        <w:t>承诺函</w:t>
      </w:r>
    </w:p>
    <w:p w14:paraId="1F82D3E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本单位郑重承诺，本单位具有运营车辆不低于5辆，车辆符合排放标准，且所有提供服务的车辆均配备有运行正常的GPS或北斗定位设备。</w:t>
      </w:r>
    </w:p>
    <w:p w14:paraId="60FCB5A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本单位对上述声明的真实性负责，如有虚假，将依法承担相应责任。后附证明材料。</w:t>
      </w:r>
    </w:p>
    <w:p w14:paraId="0E93A217">
      <w:pPr>
        <w:wordWrap w:val="0"/>
        <w:spacing w:line="360" w:lineRule="auto"/>
        <w:ind w:right="-20" w:firstLine="3120" w:firstLineChars="1300"/>
        <w:jc w:val="righ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供应商：</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rPr>
        <w:t>（加盖单位</w:t>
      </w:r>
      <w:r>
        <w:rPr>
          <w:rFonts w:hint="eastAsia" w:ascii="宋体" w:hAnsi="宋体" w:eastAsia="宋体" w:cs="宋体"/>
          <w:snapToGrid w:val="0"/>
          <w:color w:val="auto"/>
          <w:kern w:val="0"/>
          <w:sz w:val="24"/>
          <w:szCs w:val="24"/>
          <w:highlight w:val="none"/>
          <w:lang w:val="en-US" w:eastAsia="zh-CN"/>
        </w:rPr>
        <w:t>公</w:t>
      </w:r>
      <w:r>
        <w:rPr>
          <w:rFonts w:hint="eastAsia" w:ascii="宋体" w:hAnsi="宋体" w:eastAsia="宋体" w:cs="宋体"/>
          <w:snapToGrid w:val="0"/>
          <w:color w:val="auto"/>
          <w:kern w:val="0"/>
          <w:sz w:val="24"/>
          <w:szCs w:val="24"/>
          <w:highlight w:val="none"/>
        </w:rPr>
        <w:t>章）</w:t>
      </w:r>
    </w:p>
    <w:p w14:paraId="0F61EFD2">
      <w:pPr>
        <w:wordWrap w:val="0"/>
        <w:spacing w:before="34" w:line="360" w:lineRule="auto"/>
        <w:ind w:left="5516" w:right="-20"/>
        <w:jc w:val="right"/>
        <w:rPr>
          <w:rFonts w:hint="eastAsia" w:ascii="宋体" w:hAnsi="宋体" w:eastAsia="宋体" w:cs="宋体"/>
          <w:color w:val="auto"/>
          <w:sz w:val="24"/>
          <w:szCs w:val="24"/>
          <w:highlight w:val="none"/>
          <w:lang w:val="en-US" w:eastAsia="zh-CN"/>
        </w:rPr>
      </w:pP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14:paraId="665A183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2.车辆信息表</w:t>
      </w:r>
    </w:p>
    <w:p w14:paraId="4334F9EA">
      <w:pPr>
        <w:spacing w:line="360" w:lineRule="auto"/>
        <w:jc w:val="center"/>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车辆具体信息表</w:t>
      </w:r>
    </w:p>
    <w:tbl>
      <w:tblPr>
        <w:tblStyle w:val="3"/>
        <w:tblW w:w="540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7"/>
        <w:gridCol w:w="454"/>
        <w:gridCol w:w="1085"/>
        <w:gridCol w:w="958"/>
        <w:gridCol w:w="4510"/>
        <w:gridCol w:w="1567"/>
      </w:tblGrid>
      <w:tr w14:paraId="235F0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7" w:hRule="atLeast"/>
          <w:jc w:val="center"/>
        </w:trPr>
        <w:tc>
          <w:tcPr>
            <w:tcW w:w="345" w:type="pct"/>
            <w:noWrap w:val="0"/>
            <w:vAlign w:val="center"/>
          </w:tcPr>
          <w:p w14:paraId="08E18EF1">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车辆序号</w:t>
            </w:r>
          </w:p>
        </w:tc>
        <w:tc>
          <w:tcPr>
            <w:tcW w:w="246" w:type="pct"/>
            <w:noWrap w:val="0"/>
            <w:vAlign w:val="center"/>
          </w:tcPr>
          <w:p w14:paraId="5418C41A">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车型</w:t>
            </w:r>
          </w:p>
        </w:tc>
        <w:tc>
          <w:tcPr>
            <w:tcW w:w="588" w:type="pct"/>
            <w:noWrap w:val="0"/>
            <w:vAlign w:val="center"/>
          </w:tcPr>
          <w:p w14:paraId="03E76CDE">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审核项</w:t>
            </w:r>
          </w:p>
        </w:tc>
        <w:tc>
          <w:tcPr>
            <w:tcW w:w="520" w:type="pct"/>
            <w:noWrap w:val="0"/>
            <w:vAlign w:val="center"/>
          </w:tcPr>
          <w:p w14:paraId="6C10C0C4">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车牌号码</w:t>
            </w:r>
          </w:p>
        </w:tc>
        <w:tc>
          <w:tcPr>
            <w:tcW w:w="2448" w:type="pct"/>
            <w:noWrap w:val="0"/>
            <w:vAlign w:val="center"/>
          </w:tcPr>
          <w:p w14:paraId="49D02A98">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行驶证扫描件（务必清晰）</w:t>
            </w:r>
          </w:p>
        </w:tc>
        <w:tc>
          <w:tcPr>
            <w:tcW w:w="850" w:type="pct"/>
            <w:noWrap w:val="0"/>
            <w:vAlign w:val="center"/>
          </w:tcPr>
          <w:p w14:paraId="1F368042">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车辆与本单位关联关系</w:t>
            </w:r>
            <w:r>
              <w:rPr>
                <w:rFonts w:hint="eastAsia" w:ascii="宋体" w:hAnsi="宋体" w:eastAsia="宋体" w:cs="宋体"/>
                <w:b/>
                <w:bCs/>
                <w:color w:val="000000"/>
                <w:kern w:val="0"/>
                <w:szCs w:val="21"/>
                <w:highlight w:val="none"/>
              </w:rPr>
              <w:t>（自有/租赁/</w:t>
            </w:r>
            <w:r>
              <w:rPr>
                <w:rFonts w:hint="eastAsia" w:ascii="宋体" w:hAnsi="宋体" w:eastAsia="宋体" w:cs="宋体"/>
                <w:b/>
                <w:szCs w:val="21"/>
                <w:highlight w:val="none"/>
              </w:rPr>
              <w:t>协议/委托运输</w:t>
            </w:r>
            <w:r>
              <w:rPr>
                <w:rFonts w:hint="eastAsia" w:ascii="宋体" w:hAnsi="宋体" w:eastAsia="宋体" w:cs="宋体"/>
                <w:b/>
                <w:bCs/>
                <w:color w:val="000000"/>
                <w:kern w:val="0"/>
                <w:szCs w:val="21"/>
                <w:highlight w:val="none"/>
              </w:rPr>
              <w:t>）</w:t>
            </w:r>
          </w:p>
        </w:tc>
      </w:tr>
      <w:tr w14:paraId="66DC1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6" w:hRule="atLeast"/>
          <w:jc w:val="center"/>
        </w:trPr>
        <w:tc>
          <w:tcPr>
            <w:tcW w:w="345" w:type="pct"/>
            <w:vMerge w:val="restart"/>
            <w:noWrap w:val="0"/>
            <w:vAlign w:val="center"/>
          </w:tcPr>
          <w:p w14:paraId="603EEB19">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1</w:t>
            </w:r>
          </w:p>
        </w:tc>
        <w:tc>
          <w:tcPr>
            <w:tcW w:w="246" w:type="pct"/>
            <w:vMerge w:val="restart"/>
            <w:noWrap w:val="0"/>
            <w:vAlign w:val="center"/>
          </w:tcPr>
          <w:p w14:paraId="792DA241">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0EFBD281">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1ABA68CB">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0DF183D8">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1B7CA2E9">
            <w:pPr>
              <w:jc w:val="center"/>
              <w:rPr>
                <w:rFonts w:hint="eastAsia" w:ascii="宋体" w:hAnsi="宋体" w:eastAsia="宋体" w:cs="宋体"/>
                <w:b w:val="0"/>
                <w:bCs w:val="0"/>
                <w:color w:val="auto"/>
                <w:sz w:val="21"/>
                <w:szCs w:val="20"/>
                <w:highlight w:val="none"/>
                <w:lang w:val="en-US" w:eastAsia="zh-CN"/>
              </w:rPr>
            </w:pPr>
          </w:p>
        </w:tc>
      </w:tr>
      <w:tr w14:paraId="5519F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3" w:hRule="atLeast"/>
          <w:jc w:val="center"/>
        </w:trPr>
        <w:tc>
          <w:tcPr>
            <w:tcW w:w="345" w:type="pct"/>
            <w:vMerge w:val="continue"/>
            <w:noWrap w:val="0"/>
            <w:vAlign w:val="center"/>
          </w:tcPr>
          <w:p w14:paraId="7EC07FA7">
            <w:pPr>
              <w:jc w:val="center"/>
              <w:rPr>
                <w:rFonts w:hint="eastAsia" w:ascii="宋体" w:hAnsi="宋体" w:eastAsia="宋体" w:cs="宋体"/>
                <w:b w:val="0"/>
                <w:bCs w:val="0"/>
                <w:color w:val="auto"/>
                <w:sz w:val="21"/>
                <w:szCs w:val="20"/>
                <w:highlight w:val="none"/>
                <w:lang w:val="en-US" w:eastAsia="zh-CN"/>
              </w:rPr>
            </w:pPr>
          </w:p>
        </w:tc>
        <w:tc>
          <w:tcPr>
            <w:tcW w:w="246" w:type="pct"/>
            <w:vMerge w:val="continue"/>
            <w:noWrap w:val="0"/>
            <w:vAlign w:val="center"/>
          </w:tcPr>
          <w:p w14:paraId="2BC9BF31">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C9E7486">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挂车（如无不填写）</w:t>
            </w:r>
          </w:p>
        </w:tc>
        <w:tc>
          <w:tcPr>
            <w:tcW w:w="520" w:type="pct"/>
            <w:noWrap w:val="0"/>
            <w:vAlign w:val="center"/>
          </w:tcPr>
          <w:p w14:paraId="6C2CA587">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558A23B2">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72B00504">
            <w:pPr>
              <w:jc w:val="center"/>
              <w:rPr>
                <w:rFonts w:hint="eastAsia" w:ascii="宋体" w:hAnsi="宋体" w:eastAsia="宋体" w:cs="宋体"/>
                <w:b w:val="0"/>
                <w:bCs w:val="0"/>
                <w:color w:val="auto"/>
                <w:sz w:val="21"/>
                <w:szCs w:val="20"/>
                <w:highlight w:val="none"/>
                <w:lang w:val="en-US" w:eastAsia="zh-CN"/>
              </w:rPr>
            </w:pPr>
          </w:p>
        </w:tc>
      </w:tr>
      <w:tr w14:paraId="7B8EC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2" w:hRule="atLeast"/>
          <w:jc w:val="center"/>
        </w:trPr>
        <w:tc>
          <w:tcPr>
            <w:tcW w:w="345" w:type="pct"/>
            <w:vMerge w:val="restart"/>
            <w:noWrap w:val="0"/>
            <w:vAlign w:val="center"/>
          </w:tcPr>
          <w:p w14:paraId="357B7103">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2</w:t>
            </w:r>
          </w:p>
        </w:tc>
        <w:tc>
          <w:tcPr>
            <w:tcW w:w="246" w:type="pct"/>
            <w:vMerge w:val="restart"/>
            <w:noWrap w:val="0"/>
            <w:vAlign w:val="center"/>
          </w:tcPr>
          <w:p w14:paraId="2B240149">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659DC352">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7B2E9120">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71EC819E">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4A59EF9B">
            <w:pPr>
              <w:jc w:val="center"/>
              <w:rPr>
                <w:rFonts w:hint="eastAsia" w:ascii="宋体" w:hAnsi="宋体" w:eastAsia="宋体" w:cs="宋体"/>
                <w:b w:val="0"/>
                <w:bCs w:val="0"/>
                <w:color w:val="auto"/>
                <w:sz w:val="21"/>
                <w:szCs w:val="20"/>
                <w:highlight w:val="none"/>
                <w:lang w:val="en-US" w:eastAsia="zh-CN"/>
              </w:rPr>
            </w:pPr>
          </w:p>
        </w:tc>
      </w:tr>
      <w:tr w14:paraId="3F5A6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3" w:hRule="atLeast"/>
          <w:jc w:val="center"/>
        </w:trPr>
        <w:tc>
          <w:tcPr>
            <w:tcW w:w="345" w:type="pct"/>
            <w:vMerge w:val="continue"/>
            <w:noWrap w:val="0"/>
            <w:vAlign w:val="center"/>
          </w:tcPr>
          <w:p w14:paraId="07465FCB">
            <w:pPr>
              <w:jc w:val="center"/>
              <w:rPr>
                <w:rFonts w:hint="eastAsia" w:ascii="宋体" w:hAnsi="宋体" w:eastAsia="宋体" w:cs="宋体"/>
                <w:b w:val="0"/>
                <w:bCs w:val="0"/>
                <w:color w:val="auto"/>
                <w:sz w:val="21"/>
                <w:szCs w:val="20"/>
                <w:highlight w:val="none"/>
                <w:lang w:val="en-US" w:eastAsia="zh-CN"/>
              </w:rPr>
            </w:pPr>
          </w:p>
        </w:tc>
        <w:tc>
          <w:tcPr>
            <w:tcW w:w="246" w:type="pct"/>
            <w:vMerge w:val="continue"/>
            <w:noWrap w:val="0"/>
            <w:vAlign w:val="center"/>
          </w:tcPr>
          <w:p w14:paraId="4D2AE11E">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C54F25E">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挂车（如无不填写）</w:t>
            </w:r>
          </w:p>
        </w:tc>
        <w:tc>
          <w:tcPr>
            <w:tcW w:w="520" w:type="pct"/>
            <w:noWrap w:val="0"/>
            <w:vAlign w:val="center"/>
          </w:tcPr>
          <w:p w14:paraId="084FAA3B">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5C196CDA">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100CFF94">
            <w:pPr>
              <w:jc w:val="center"/>
              <w:rPr>
                <w:rFonts w:hint="eastAsia" w:ascii="宋体" w:hAnsi="宋体" w:eastAsia="宋体" w:cs="宋体"/>
                <w:b w:val="0"/>
                <w:bCs w:val="0"/>
                <w:color w:val="auto"/>
                <w:sz w:val="21"/>
                <w:szCs w:val="20"/>
                <w:highlight w:val="none"/>
                <w:lang w:val="en-US" w:eastAsia="zh-CN"/>
              </w:rPr>
            </w:pPr>
          </w:p>
        </w:tc>
      </w:tr>
      <w:tr w14:paraId="1537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jc w:val="center"/>
        </w:trPr>
        <w:tc>
          <w:tcPr>
            <w:tcW w:w="345" w:type="pct"/>
            <w:vMerge w:val="restart"/>
            <w:noWrap w:val="0"/>
            <w:vAlign w:val="center"/>
          </w:tcPr>
          <w:p w14:paraId="0C764FE7">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3</w:t>
            </w:r>
          </w:p>
        </w:tc>
        <w:tc>
          <w:tcPr>
            <w:tcW w:w="246" w:type="pct"/>
            <w:vMerge w:val="restart"/>
            <w:noWrap w:val="0"/>
            <w:vAlign w:val="center"/>
          </w:tcPr>
          <w:p w14:paraId="5B771CAF">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E088988">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65C5FCA6">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51FF321A">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361820C9">
            <w:pPr>
              <w:jc w:val="center"/>
              <w:rPr>
                <w:rFonts w:hint="eastAsia" w:ascii="宋体" w:hAnsi="宋体" w:eastAsia="宋体" w:cs="宋体"/>
                <w:b w:val="0"/>
                <w:bCs w:val="0"/>
                <w:color w:val="auto"/>
                <w:sz w:val="21"/>
                <w:szCs w:val="20"/>
                <w:highlight w:val="none"/>
                <w:lang w:val="en-US" w:eastAsia="zh-CN"/>
              </w:rPr>
            </w:pPr>
          </w:p>
        </w:tc>
      </w:tr>
      <w:tr w14:paraId="21ADE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345" w:type="pct"/>
            <w:vMerge w:val="continue"/>
            <w:noWrap w:val="0"/>
            <w:vAlign w:val="center"/>
          </w:tcPr>
          <w:p w14:paraId="37A804A0">
            <w:pPr>
              <w:jc w:val="center"/>
              <w:rPr>
                <w:rFonts w:hint="eastAsia" w:ascii="宋体" w:hAnsi="宋体" w:eastAsia="宋体" w:cs="宋体"/>
                <w:b w:val="0"/>
                <w:bCs w:val="0"/>
                <w:color w:val="auto"/>
                <w:sz w:val="21"/>
                <w:szCs w:val="20"/>
                <w:highlight w:val="none"/>
                <w:lang w:val="en-US" w:eastAsia="zh-CN"/>
              </w:rPr>
            </w:pPr>
          </w:p>
        </w:tc>
        <w:tc>
          <w:tcPr>
            <w:tcW w:w="246" w:type="pct"/>
            <w:vMerge w:val="continue"/>
            <w:noWrap w:val="0"/>
            <w:vAlign w:val="center"/>
          </w:tcPr>
          <w:p w14:paraId="1F5AB50F">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721BBF27">
            <w:pPr>
              <w:jc w:val="center"/>
              <w:rPr>
                <w:rFonts w:hint="eastAsia" w:ascii="宋体" w:hAnsi="宋体" w:eastAsia="宋体" w:cs="宋体"/>
                <w:b w:val="0"/>
                <w:bCs w:val="0"/>
                <w:color w:val="auto"/>
                <w:kern w:val="2"/>
                <w:sz w:val="21"/>
                <w:szCs w:val="20"/>
                <w:highlight w:val="none"/>
                <w:lang w:val="en-US" w:eastAsia="zh-CN" w:bidi="ar-SA"/>
              </w:rPr>
            </w:pPr>
            <w:r>
              <w:rPr>
                <w:rFonts w:hint="eastAsia" w:ascii="宋体" w:hAnsi="宋体" w:eastAsia="宋体" w:cs="宋体"/>
                <w:b w:val="0"/>
                <w:bCs w:val="0"/>
                <w:color w:val="auto"/>
                <w:sz w:val="21"/>
                <w:szCs w:val="20"/>
                <w:highlight w:val="none"/>
                <w:lang w:val="en-US" w:eastAsia="zh-CN"/>
              </w:rPr>
              <w:t>挂车（如无不填写）</w:t>
            </w:r>
          </w:p>
        </w:tc>
        <w:tc>
          <w:tcPr>
            <w:tcW w:w="520" w:type="pct"/>
            <w:noWrap w:val="0"/>
            <w:vAlign w:val="center"/>
          </w:tcPr>
          <w:p w14:paraId="5482918F">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4D86CFA4">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243B1762">
            <w:pPr>
              <w:jc w:val="center"/>
              <w:rPr>
                <w:rFonts w:hint="eastAsia" w:ascii="宋体" w:hAnsi="宋体" w:eastAsia="宋体" w:cs="宋体"/>
                <w:b w:val="0"/>
                <w:bCs w:val="0"/>
                <w:color w:val="auto"/>
                <w:sz w:val="21"/>
                <w:szCs w:val="20"/>
                <w:highlight w:val="none"/>
                <w:lang w:val="en-US" w:eastAsia="zh-CN"/>
              </w:rPr>
            </w:pPr>
          </w:p>
        </w:tc>
      </w:tr>
      <w:tr w14:paraId="38585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3" w:hRule="atLeast"/>
          <w:jc w:val="center"/>
        </w:trPr>
        <w:tc>
          <w:tcPr>
            <w:tcW w:w="345" w:type="pct"/>
            <w:noWrap w:val="0"/>
            <w:vAlign w:val="center"/>
          </w:tcPr>
          <w:p w14:paraId="2F10EF94">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4</w:t>
            </w:r>
          </w:p>
        </w:tc>
        <w:tc>
          <w:tcPr>
            <w:tcW w:w="246" w:type="pct"/>
            <w:noWrap w:val="0"/>
            <w:vAlign w:val="center"/>
          </w:tcPr>
          <w:p w14:paraId="2D5C5B0D">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49AF8E30">
            <w:pPr>
              <w:jc w:val="center"/>
              <w:rPr>
                <w:rFonts w:hint="eastAsia" w:ascii="宋体" w:hAnsi="宋体" w:eastAsia="宋体" w:cs="宋体"/>
                <w:b w:val="0"/>
                <w:bCs w:val="0"/>
                <w:color w:val="auto"/>
                <w:kern w:val="2"/>
                <w:sz w:val="21"/>
                <w:szCs w:val="20"/>
                <w:highlight w:val="none"/>
                <w:lang w:val="en-US" w:eastAsia="zh-CN" w:bidi="ar-SA"/>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06113815">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7E545FF4">
            <w:pPr>
              <w:jc w:val="center"/>
              <w:rPr>
                <w:rFonts w:hint="eastAsia" w:ascii="宋体" w:hAnsi="宋体" w:eastAsia="宋体" w:cs="宋体"/>
                <w:b w:val="0"/>
                <w:bCs w:val="0"/>
                <w:color w:val="auto"/>
                <w:sz w:val="21"/>
                <w:szCs w:val="20"/>
                <w:highlight w:val="none"/>
                <w:lang w:val="en-US" w:eastAsia="zh-CN"/>
              </w:rPr>
            </w:pPr>
          </w:p>
        </w:tc>
        <w:tc>
          <w:tcPr>
            <w:tcW w:w="850" w:type="pct"/>
            <w:noWrap w:val="0"/>
            <w:vAlign w:val="center"/>
          </w:tcPr>
          <w:p w14:paraId="2DD53E5E">
            <w:pPr>
              <w:jc w:val="center"/>
              <w:rPr>
                <w:rFonts w:hint="eastAsia" w:ascii="宋体" w:hAnsi="宋体" w:eastAsia="宋体" w:cs="宋体"/>
                <w:b w:val="0"/>
                <w:bCs w:val="0"/>
                <w:color w:val="auto"/>
                <w:sz w:val="21"/>
                <w:szCs w:val="20"/>
                <w:highlight w:val="none"/>
                <w:lang w:val="en-US" w:eastAsia="zh-CN"/>
              </w:rPr>
            </w:pPr>
          </w:p>
        </w:tc>
      </w:tr>
      <w:tr w14:paraId="2AECD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2" w:hRule="atLeast"/>
          <w:jc w:val="center"/>
        </w:trPr>
        <w:tc>
          <w:tcPr>
            <w:tcW w:w="345" w:type="pct"/>
            <w:noWrap w:val="0"/>
            <w:vAlign w:val="center"/>
          </w:tcPr>
          <w:p w14:paraId="674F4232">
            <w:pPr>
              <w:jc w:val="center"/>
              <w:rPr>
                <w:rFonts w:hint="eastAsia" w:ascii="宋体" w:hAnsi="宋体" w:eastAsia="宋体" w:cs="宋体"/>
                <w:b w:val="0"/>
                <w:bCs w:val="0"/>
                <w:color w:val="auto"/>
                <w:sz w:val="21"/>
                <w:szCs w:val="20"/>
                <w:highlight w:val="none"/>
                <w:lang w:val="en-US" w:eastAsia="zh-CN"/>
              </w:rPr>
            </w:pPr>
          </w:p>
        </w:tc>
        <w:tc>
          <w:tcPr>
            <w:tcW w:w="246" w:type="pct"/>
            <w:noWrap w:val="0"/>
            <w:vAlign w:val="center"/>
          </w:tcPr>
          <w:p w14:paraId="709E91FD">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C2F48C4">
            <w:pPr>
              <w:jc w:val="center"/>
              <w:rPr>
                <w:rFonts w:hint="eastAsia" w:ascii="宋体" w:hAnsi="宋体" w:eastAsia="宋体" w:cs="宋体"/>
                <w:b w:val="0"/>
                <w:bCs w:val="0"/>
                <w:color w:val="auto"/>
                <w:sz w:val="21"/>
                <w:szCs w:val="20"/>
                <w:highlight w:val="none"/>
                <w:lang w:val="en-US" w:eastAsia="zh-CN"/>
              </w:rPr>
            </w:pPr>
          </w:p>
        </w:tc>
        <w:tc>
          <w:tcPr>
            <w:tcW w:w="520" w:type="pct"/>
            <w:noWrap w:val="0"/>
            <w:vAlign w:val="center"/>
          </w:tcPr>
          <w:p w14:paraId="5141C333">
            <w:pPr>
              <w:jc w:val="center"/>
              <w:rPr>
                <w:rFonts w:hint="eastAsia" w:ascii="宋体" w:hAnsi="宋体" w:eastAsia="宋体" w:cs="宋体"/>
                <w:b w:val="0"/>
                <w:bCs w:val="0"/>
                <w:color w:val="auto"/>
                <w:sz w:val="21"/>
                <w:szCs w:val="20"/>
                <w:highlight w:val="none"/>
                <w:lang w:val="en-US" w:eastAsia="zh-CN"/>
              </w:rPr>
            </w:pPr>
          </w:p>
        </w:tc>
        <w:tc>
          <w:tcPr>
            <w:tcW w:w="2448" w:type="pct"/>
            <w:noWrap w:val="0"/>
            <w:vAlign w:val="center"/>
          </w:tcPr>
          <w:p w14:paraId="4DD89DA0">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供应商自行增加</w:t>
            </w:r>
          </w:p>
        </w:tc>
        <w:tc>
          <w:tcPr>
            <w:tcW w:w="850" w:type="pct"/>
            <w:noWrap w:val="0"/>
            <w:vAlign w:val="center"/>
          </w:tcPr>
          <w:p w14:paraId="15041675">
            <w:pPr>
              <w:jc w:val="center"/>
              <w:rPr>
                <w:rFonts w:hint="eastAsia" w:ascii="宋体" w:hAnsi="宋体" w:eastAsia="宋体" w:cs="宋体"/>
                <w:b w:val="0"/>
                <w:bCs w:val="0"/>
                <w:color w:val="auto"/>
                <w:sz w:val="21"/>
                <w:szCs w:val="20"/>
                <w:highlight w:val="none"/>
                <w:lang w:val="en-US" w:eastAsia="zh-CN"/>
              </w:rPr>
            </w:pPr>
          </w:p>
        </w:tc>
      </w:tr>
    </w:tbl>
    <w:p w14:paraId="188FA48E">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车辆要求及采购包专用资质要求详见公告。</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en-US" w:eastAsia="zh-CN"/>
        </w:rPr>
        <w:t>车辆具体信息表供应商提供材料务必清晰准确，供应商可调整表格格式及后附相关材料。</w:t>
      </w:r>
    </w:p>
    <w:p w14:paraId="43361F4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3.其他须提供车辆说明材料（如租赁协议、付款记录等材料，要求详见公告，格式自拟）。</w:t>
      </w:r>
    </w:p>
    <w:p w14:paraId="0EDF00F8">
      <w:pPr>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color w:val="auto"/>
          <w:sz w:val="24"/>
          <w:szCs w:val="24"/>
          <w:highlight w:val="none"/>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5：</w:t>
      </w:r>
    </w:p>
    <w:p w14:paraId="6FD24039">
      <w:pPr>
        <w:adjustRightInd w:val="0"/>
        <w:snapToGrid w:val="0"/>
        <w:spacing w:line="4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关于中粮集团汽运集采项目供应商违约情况的处理意见</w:t>
      </w:r>
    </w:p>
    <w:p w14:paraId="776CA289">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为进一步加强物流供应商管理，规范解决汽运供应商集采过程中出现的问题，现明确以下处理要求，请各相关专业化公司遵照执行。</w:t>
      </w:r>
    </w:p>
    <w:p w14:paraId="2C510AD8">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一、</w:t>
      </w:r>
      <w:r>
        <w:rPr>
          <w:rFonts w:hint="eastAsia" w:ascii="宋体" w:hAnsi="宋体" w:eastAsia="宋体" w:cs="宋体"/>
          <w:color w:val="auto"/>
          <w:kern w:val="0"/>
          <w:szCs w:val="21"/>
          <w:highlight w:val="none"/>
          <w:lang w:eastAsia="zh-CN" w:bidi="ar"/>
        </w:rPr>
        <w:t>成交供应商</w:t>
      </w:r>
      <w:r>
        <w:rPr>
          <w:rFonts w:hint="eastAsia" w:ascii="宋体" w:hAnsi="宋体" w:eastAsia="宋体" w:cs="宋体"/>
          <w:color w:val="auto"/>
          <w:kern w:val="0"/>
          <w:szCs w:val="21"/>
          <w:highlight w:val="none"/>
          <w:lang w:bidi="ar"/>
        </w:rPr>
        <w:t>拒不签约的，不予退还其</w:t>
      </w:r>
      <w:r>
        <w:rPr>
          <w:rFonts w:hint="eastAsia" w:ascii="宋体" w:hAnsi="宋体" w:eastAsia="宋体" w:cs="宋体"/>
          <w:color w:val="auto"/>
          <w:kern w:val="0"/>
          <w:szCs w:val="21"/>
          <w:highlight w:val="none"/>
          <w:lang w:eastAsia="zh-CN" w:bidi="ar"/>
        </w:rPr>
        <w:t>响应保证金</w:t>
      </w:r>
      <w:r>
        <w:rPr>
          <w:rFonts w:hint="eastAsia" w:ascii="宋体" w:hAnsi="宋体" w:eastAsia="宋体" w:cs="宋体"/>
          <w:color w:val="auto"/>
          <w:kern w:val="0"/>
          <w:szCs w:val="21"/>
          <w:highlight w:val="none"/>
          <w:lang w:bidi="ar"/>
        </w:rPr>
        <w:t>5万元，列入中粮E采失信客商名单，向集团所有专业化公司公示，自公示之日起2年内取消对中粮集团汽运集采项目的投标资格。</w:t>
      </w:r>
    </w:p>
    <w:p w14:paraId="6F6912BF">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二、</w:t>
      </w:r>
      <w:r>
        <w:rPr>
          <w:rFonts w:hint="eastAsia" w:ascii="宋体" w:hAnsi="宋体" w:eastAsia="宋体" w:cs="宋体"/>
          <w:color w:val="auto"/>
          <w:kern w:val="0"/>
          <w:szCs w:val="21"/>
          <w:highlight w:val="none"/>
          <w:lang w:eastAsia="zh-CN" w:bidi="ar"/>
        </w:rPr>
        <w:t>成交供应商</w:t>
      </w:r>
      <w:r>
        <w:rPr>
          <w:rFonts w:hint="eastAsia" w:ascii="宋体" w:hAnsi="宋体" w:eastAsia="宋体" w:cs="宋体"/>
          <w:color w:val="auto"/>
          <w:kern w:val="0"/>
          <w:szCs w:val="21"/>
          <w:highlight w:val="none"/>
          <w:lang w:bidi="ar"/>
        </w:rPr>
        <w:t>签约后拒绝执行或部分执行的，扣除履约保证金（按照各专业化公司收取标准），列入中粮E采失信客商名单，向集团所有专业化公司公示，自公示之日起2年内取消对中粮集团汽运集采项目的投标资格。</w:t>
      </w:r>
    </w:p>
    <w:p w14:paraId="27ECDB12">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三、供应商中选多个</w:t>
      </w:r>
      <w:r>
        <w:rPr>
          <w:rFonts w:hint="eastAsia" w:ascii="宋体" w:hAnsi="宋体" w:eastAsia="宋体" w:cs="宋体"/>
          <w:color w:val="auto"/>
          <w:kern w:val="0"/>
          <w:szCs w:val="21"/>
          <w:highlight w:val="none"/>
          <w:lang w:eastAsia="zh-CN" w:bidi="ar"/>
        </w:rPr>
        <w:t>采购包</w:t>
      </w:r>
      <w:r>
        <w:rPr>
          <w:rFonts w:hint="eastAsia" w:ascii="宋体" w:hAnsi="宋体" w:eastAsia="宋体" w:cs="宋体"/>
          <w:color w:val="auto"/>
          <w:kern w:val="0"/>
          <w:szCs w:val="21"/>
          <w:highlight w:val="none"/>
          <w:lang w:bidi="ar"/>
        </w:rPr>
        <w:t>，其中部分不签约或签约后未执行及部分执行的，取消所有</w:t>
      </w:r>
      <w:r>
        <w:rPr>
          <w:rFonts w:hint="eastAsia" w:ascii="宋体" w:hAnsi="宋体" w:eastAsia="宋体" w:cs="宋体"/>
          <w:color w:val="auto"/>
          <w:kern w:val="0"/>
          <w:szCs w:val="21"/>
          <w:highlight w:val="none"/>
          <w:lang w:eastAsia="zh-CN" w:bidi="ar"/>
        </w:rPr>
        <w:t>采购包</w:t>
      </w:r>
      <w:r>
        <w:rPr>
          <w:rFonts w:hint="eastAsia" w:ascii="宋体" w:hAnsi="宋体" w:eastAsia="宋体" w:cs="宋体"/>
          <w:color w:val="auto"/>
          <w:kern w:val="0"/>
          <w:szCs w:val="21"/>
          <w:highlight w:val="none"/>
          <w:lang w:bidi="ar"/>
        </w:rPr>
        <w:t>合作，并按照第一、二条款内容处理。</w:t>
      </w:r>
    </w:p>
    <w:p w14:paraId="59C00CD0">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四、存在第一、第二条款违约情形的供应商，如存在本次汽运集采之外的在执行合同，合同履行完毕后起算禁止投标期限。</w:t>
      </w:r>
    </w:p>
    <w:p w14:paraId="6CE470DE">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五、供应商出现不签约、不执行或部分执行等行为时，要与其进行充分沟通，督促其继续履行合同，沟通无效后再进行相应处理。对尚未造成违约事实的供应商，可正式书面澄清一次，请其期限内书面确认，超期无确认的视为违约；对已造成违约事实并按规定列入失信名单的供应商，正式通知该供应商。</w:t>
      </w:r>
    </w:p>
    <w:p w14:paraId="120C9819">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六、以上条款只针对实际违约的供应商法人主体，与其关联的其他企业无关。</w:t>
      </w:r>
    </w:p>
    <w:p w14:paraId="6CACDC0A">
      <w:pPr>
        <w:spacing w:line="360" w:lineRule="auto"/>
        <w:ind w:right="24" w:firstLine="440" w:firstLineChars="200"/>
        <w:jc w:val="right"/>
        <w:rPr>
          <w:rFonts w:hint="eastAsia" w:ascii="宋体" w:hAnsi="宋体" w:eastAsia="宋体" w:cs="宋体"/>
          <w:color w:val="auto"/>
          <w:sz w:val="22"/>
          <w:szCs w:val="22"/>
          <w:highlight w:val="none"/>
          <w:lang w:bidi="ar"/>
        </w:rPr>
      </w:pPr>
      <w:r>
        <w:rPr>
          <w:rFonts w:hint="eastAsia" w:ascii="宋体" w:hAnsi="宋体" w:eastAsia="宋体" w:cs="宋体"/>
          <w:color w:val="auto"/>
          <w:sz w:val="22"/>
          <w:szCs w:val="22"/>
          <w:highlight w:val="none"/>
          <w:lang w:bidi="ar"/>
        </w:rPr>
        <w:t>中粮集团国内物流业务工作组</w:t>
      </w:r>
    </w:p>
    <w:p w14:paraId="51A89500">
      <w:pPr>
        <w:jc w:val="right"/>
        <w:rPr>
          <w:rFonts w:hint="eastAsia" w:ascii="宋体" w:hAnsi="宋体" w:eastAsia="宋体" w:cs="宋体"/>
          <w:b w:val="0"/>
          <w:bCs w:val="0"/>
          <w:snapToGrid w:val="0"/>
          <w:color w:val="auto"/>
          <w:kern w:val="0"/>
          <w:sz w:val="24"/>
          <w:highlight w:val="none"/>
          <w:lang w:val="en-US" w:eastAsia="zh-CN" w:bidi="en-US"/>
        </w:rPr>
      </w:pPr>
      <w:r>
        <w:rPr>
          <w:rFonts w:hint="eastAsia" w:ascii="宋体" w:hAnsi="宋体" w:eastAsia="宋体" w:cs="宋体"/>
          <w:b w:val="0"/>
          <w:bCs w:val="0"/>
          <w:snapToGrid w:val="0"/>
          <w:color w:val="auto"/>
          <w:kern w:val="0"/>
          <w:sz w:val="24"/>
          <w:highlight w:val="none"/>
          <w:lang w:val="en-US" w:eastAsia="zh-CN" w:bidi="en-US"/>
        </w:rPr>
        <w:t>2026年2月</w:t>
      </w:r>
    </w:p>
    <w:p w14:paraId="247506EA">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6</w:t>
      </w:r>
      <w:r>
        <w:rPr>
          <w:rFonts w:hint="eastAsia" w:ascii="宋体" w:hAnsi="宋体" w:eastAsia="宋体" w:cs="宋体"/>
          <w:b/>
          <w:bCs/>
          <w:snapToGrid w:val="0"/>
          <w:color w:val="auto"/>
          <w:kern w:val="0"/>
          <w:sz w:val="24"/>
          <w:highlight w:val="none"/>
          <w:lang w:bidi="en-US"/>
        </w:rPr>
        <w:t>：</w:t>
      </w:r>
    </w:p>
    <w:p w14:paraId="5CCCC23E">
      <w:pPr>
        <w:snapToGrid w:val="0"/>
        <w:spacing w:line="360" w:lineRule="auto"/>
        <w:jc w:val="center"/>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snapToGrid w:val="0"/>
          <w:color w:val="auto"/>
          <w:kern w:val="0"/>
          <w:sz w:val="24"/>
          <w:highlight w:val="none"/>
          <w:lang w:val="en-US" w:eastAsia="zh-CN" w:bidi="en-US"/>
        </w:rPr>
        <w:t>通用承诺函</w:t>
      </w:r>
    </w:p>
    <w:p w14:paraId="2EA12A99">
      <w:pPr>
        <w:snapToGrid w:val="0"/>
        <w:spacing w:line="360" w:lineRule="auto"/>
        <w:ind w:firstLine="420"/>
        <w:rPr>
          <w:rFonts w:hint="eastAsia" w:ascii="宋体" w:hAnsi="宋体" w:eastAsia="宋体" w:cs="宋体"/>
          <w:color w:val="auto"/>
          <w:sz w:val="24"/>
          <w:szCs w:val="24"/>
          <w:highlight w:val="none"/>
          <w:u w:val="single"/>
          <w:lang w:bidi="en-US"/>
        </w:rPr>
      </w:pPr>
      <w:r>
        <w:rPr>
          <w:rFonts w:hint="eastAsia" w:ascii="宋体" w:hAnsi="宋体" w:eastAsia="宋体" w:cs="宋体"/>
          <w:snapToGrid w:val="0"/>
          <w:color w:val="auto"/>
          <w:kern w:val="0"/>
          <w:sz w:val="24"/>
          <w:szCs w:val="24"/>
          <w:highlight w:val="none"/>
          <w:lang w:bidi="en-US"/>
        </w:rPr>
        <w:t>致：</w:t>
      </w:r>
      <w:r>
        <w:rPr>
          <w:rFonts w:hint="eastAsia" w:ascii="宋体" w:hAnsi="宋体" w:eastAsia="宋体" w:cs="宋体"/>
          <w:color w:val="auto"/>
          <w:sz w:val="24"/>
          <w:szCs w:val="24"/>
          <w:highlight w:val="none"/>
          <w:u w:val="single"/>
          <w:lang w:bidi="ar"/>
        </w:rPr>
        <w:t>中粮集团有限公司</w:t>
      </w:r>
      <w:r>
        <w:rPr>
          <w:rFonts w:hint="eastAsia" w:ascii="宋体" w:hAnsi="宋体" w:eastAsia="宋体" w:cs="宋体"/>
          <w:color w:val="auto"/>
          <w:sz w:val="24"/>
          <w:szCs w:val="24"/>
          <w:highlight w:val="none"/>
          <w:lang w:bidi="en-US"/>
        </w:rPr>
        <w:t xml:space="preserve"> </w:t>
      </w:r>
    </w:p>
    <w:p w14:paraId="3ACEFE8C">
      <w:pPr>
        <w:snapToGrid w:val="0"/>
        <w:spacing w:line="360" w:lineRule="auto"/>
        <w:ind w:firstLine="42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color w:val="auto"/>
          <w:sz w:val="24"/>
          <w:szCs w:val="24"/>
          <w:highlight w:val="none"/>
          <w:lang w:bidi="en-US"/>
        </w:rPr>
        <w:t xml:space="preserve">   </w:t>
      </w:r>
      <w:r>
        <w:rPr>
          <w:rFonts w:hint="eastAsia" w:ascii="宋体" w:hAnsi="宋体" w:eastAsia="宋体" w:cs="宋体"/>
          <w:color w:val="auto"/>
          <w:sz w:val="24"/>
          <w:szCs w:val="24"/>
          <w:highlight w:val="none"/>
          <w:lang w:val="en-US" w:eastAsia="zh-CN" w:bidi="en-US"/>
        </w:rPr>
        <w:t xml:space="preserve"> </w:t>
      </w:r>
      <w:r>
        <w:rPr>
          <w:rFonts w:hint="eastAsia" w:ascii="宋体" w:hAnsi="宋体" w:eastAsia="宋体" w:cs="宋体"/>
          <w:color w:val="auto"/>
          <w:sz w:val="24"/>
          <w:szCs w:val="24"/>
          <w:highlight w:val="none"/>
          <w:u w:val="single"/>
          <w:lang w:bidi="en-US"/>
        </w:rPr>
        <w:t>安徽省招标集团股份有限公司</w:t>
      </w:r>
    </w:p>
    <w:p w14:paraId="0C98D1A8">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本单位郑重承诺：</w:t>
      </w:r>
    </w:p>
    <w:p w14:paraId="7EA847EB">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我单位未被中粮集团、中粮各专业化公司列入黑名单或惩戒名单（被列入专业化公司黑名单的不得向相应专业化公司提供报价）；不存在单位负责人为同一人，或者存在控股、管理关系的不同单位参加同一</w:t>
      </w:r>
      <w:r>
        <w:rPr>
          <w:rFonts w:hint="eastAsia" w:ascii="宋体" w:hAnsi="宋体" w:eastAsia="宋体" w:cs="宋体"/>
          <w:snapToGrid w:val="0"/>
          <w:color w:val="auto"/>
          <w:kern w:val="0"/>
          <w:sz w:val="24"/>
          <w:szCs w:val="24"/>
          <w:highlight w:val="none"/>
          <w:lang w:eastAsia="zh-CN" w:bidi="en-US"/>
        </w:rPr>
        <w:t>采购包</w:t>
      </w:r>
      <w:r>
        <w:rPr>
          <w:rFonts w:hint="eastAsia" w:ascii="宋体" w:hAnsi="宋体" w:eastAsia="宋体" w:cs="宋体"/>
          <w:snapToGrid w:val="0"/>
          <w:color w:val="auto"/>
          <w:kern w:val="0"/>
          <w:sz w:val="24"/>
          <w:szCs w:val="24"/>
          <w:highlight w:val="none"/>
          <w:lang w:bidi="en-US"/>
        </w:rPr>
        <w:t>或者未划分</w:t>
      </w:r>
      <w:r>
        <w:rPr>
          <w:rFonts w:hint="eastAsia" w:ascii="宋体" w:hAnsi="宋体" w:eastAsia="宋体" w:cs="宋体"/>
          <w:snapToGrid w:val="0"/>
          <w:color w:val="auto"/>
          <w:kern w:val="0"/>
          <w:sz w:val="24"/>
          <w:szCs w:val="24"/>
          <w:highlight w:val="none"/>
          <w:lang w:eastAsia="zh-CN" w:bidi="en-US"/>
        </w:rPr>
        <w:t>采购包</w:t>
      </w:r>
      <w:r>
        <w:rPr>
          <w:rFonts w:hint="eastAsia" w:ascii="宋体" w:hAnsi="宋体" w:eastAsia="宋体" w:cs="宋体"/>
          <w:snapToGrid w:val="0"/>
          <w:color w:val="auto"/>
          <w:kern w:val="0"/>
          <w:sz w:val="24"/>
          <w:szCs w:val="24"/>
          <w:highlight w:val="none"/>
          <w:lang w:bidi="en-US"/>
        </w:rPr>
        <w:t>的同一采购项目的情况。</w:t>
      </w:r>
    </w:p>
    <w:p w14:paraId="410EAB52">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财务状况良好，具有良好的商业信誉和健全的财务会计制度，没有处于财产被没收、接管、破产或其他关、停、并、转的状态，在经营活动中没有重大违法记录，无利用不正当手段骗取成交，无重大经济案件。</w:t>
      </w:r>
    </w:p>
    <w:p w14:paraId="7A171CB7">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承诺在食品及食品原料运输服务过程中，严格使用装载食品或食品原料的专用容器，不使用非食品、非食品原料容器的运输工具，不与非食品、非食品原料容器的其他运输工具混用、混装，严格遵守食品运输安全相关规定，保证运输环节合规、安全、可追溯。</w:t>
      </w:r>
    </w:p>
    <w:p w14:paraId="07686F15">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我单位承诺国家部委等行业主管机关对物流业务工作有新的管理规定或要求的，遵照新规定或新要求。</w:t>
      </w:r>
    </w:p>
    <w:p w14:paraId="2B2A1A3B">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我单位承诺已知晓《关于中粮集团汽运集采项目供应商违约情况的处理意见》，若履约阶段出现违约情况，将服从相关处理安排。</w:t>
      </w:r>
    </w:p>
    <w:p w14:paraId="317296C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不存在以下不良信用记录的情形（后附查询截图）：①被人民法院列入失信被执行人名单的；②被列入重大税收违法案件当事人（重大税收违法失信主体）名单的；③被市场监督管理部门（或工商行政管理部门）在全国企业信用信息公示系统中列入严重违法失信企业名单。</w:t>
      </w:r>
    </w:p>
    <w:p w14:paraId="224F9E56">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我单位对上述声明的真实性负责，如有虚假，采购人有权取消取消我单位的响应资格、成交资格，并将依法承担相应责任。</w:t>
      </w:r>
    </w:p>
    <w:p w14:paraId="447B8649">
      <w:pPr>
        <w:spacing w:line="360" w:lineRule="auto"/>
        <w:ind w:right="24" w:firstLine="440" w:firstLineChars="200"/>
        <w:jc w:val="righ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供应商：</w:t>
      </w: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color w:val="auto"/>
          <w:sz w:val="22"/>
          <w:szCs w:val="22"/>
          <w:highlight w:val="none"/>
          <w:lang w:bidi="ar"/>
        </w:rPr>
        <w:t>（盖章）</w:t>
      </w:r>
    </w:p>
    <w:p w14:paraId="0B57D8D3">
      <w:pPr>
        <w:spacing w:after="120" w:line="360" w:lineRule="auto"/>
        <w:ind w:left="420" w:leftChars="200" w:firstLine="440" w:firstLineChars="200"/>
        <w:jc w:val="right"/>
        <w:rPr>
          <w:rFonts w:hint="eastAsia" w:ascii="宋体" w:hAnsi="宋体" w:eastAsia="宋体" w:cs="宋体"/>
          <w:snapToGrid w:val="0"/>
          <w:color w:val="auto"/>
          <w:sz w:val="22"/>
          <w:szCs w:val="22"/>
          <w:highlight w:val="none"/>
        </w:rPr>
      </w:pP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snapToGrid w:val="0"/>
          <w:color w:val="auto"/>
          <w:sz w:val="22"/>
          <w:szCs w:val="22"/>
          <w:highlight w:val="none"/>
          <w:lang w:bidi="ar"/>
        </w:rPr>
        <w:t>年</w:t>
      </w: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snapToGrid w:val="0"/>
          <w:color w:val="auto"/>
          <w:sz w:val="22"/>
          <w:szCs w:val="22"/>
          <w:highlight w:val="none"/>
          <w:lang w:bidi="ar"/>
        </w:rPr>
        <w:t>月</w:t>
      </w: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snapToGrid w:val="0"/>
          <w:color w:val="auto"/>
          <w:sz w:val="22"/>
          <w:szCs w:val="22"/>
          <w:highlight w:val="none"/>
          <w:lang w:bidi="ar"/>
        </w:rPr>
        <w:t>日</w:t>
      </w:r>
    </w:p>
    <w:p w14:paraId="740A51FA">
      <w:pPr>
        <w:adjustRightInd w:val="0"/>
        <w:snapToGrid w:val="0"/>
        <w:spacing w:line="360" w:lineRule="auto"/>
        <w:jc w:val="lef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示例：（供应商自行查询，示例图片可删除）</w:t>
      </w:r>
    </w:p>
    <w:p w14:paraId="032409AA">
      <w:pPr>
        <w:adjustRightInd w:val="0"/>
        <w:snapToGrid w:val="0"/>
        <w:spacing w:line="360" w:lineRule="auto"/>
        <w:ind w:firstLine="480" w:firstLineChars="200"/>
        <w:jc w:val="lef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（1）在“国家企业信用信息公示系统”网站中被列入严重违法失信企业名单</w:t>
      </w:r>
      <w:r>
        <w:rPr>
          <w:rFonts w:hint="eastAsia" w:ascii="宋体" w:hAnsi="宋体" w:eastAsia="宋体" w:cs="宋体"/>
          <w:color w:val="auto"/>
          <w:sz w:val="24"/>
          <w:szCs w:val="24"/>
          <w:highlight w:val="none"/>
        </w:rPr>
        <w:t>（以投标人提供的网站查询结果截图为准）</w:t>
      </w:r>
      <w:r>
        <w:rPr>
          <w:rFonts w:hint="eastAsia" w:ascii="宋体" w:hAnsi="宋体" w:eastAsia="宋体" w:cs="宋体"/>
          <w:bCs/>
          <w:snapToGrid w:val="0"/>
          <w:color w:val="auto"/>
          <w:kern w:val="0"/>
          <w:sz w:val="24"/>
          <w:szCs w:val="24"/>
          <w:highlight w:val="none"/>
        </w:rPr>
        <w:t>；</w:t>
      </w:r>
    </w:p>
    <w:p w14:paraId="5FAD3FA5">
      <w:pPr>
        <w:adjustRightInd w:val="0"/>
        <w:snapToGrid w:val="0"/>
        <w:spacing w:line="360" w:lineRule="auto"/>
        <w:jc w:val="center"/>
        <w:rPr>
          <w:rFonts w:hint="eastAsia" w:ascii="宋体" w:hAnsi="宋体" w:eastAsia="宋体" w:cs="宋体"/>
          <w:bCs/>
          <w:snapToGrid w:val="0"/>
          <w:color w:val="auto"/>
          <w:kern w:val="0"/>
          <w:sz w:val="24"/>
          <w:szCs w:val="24"/>
          <w:highlight w:val="none"/>
        </w:rPr>
      </w:pPr>
      <w:r>
        <w:rPr>
          <w:rFonts w:hint="eastAsia" w:ascii="宋体" w:hAnsi="宋体" w:eastAsia="宋体" w:cs="宋体"/>
          <w:color w:val="auto"/>
          <w:sz w:val="28"/>
          <w:highlight w:val="none"/>
        </w:rPr>
        <w:drawing>
          <wp:inline distT="0" distB="0" distL="114300" distR="114300">
            <wp:extent cx="4792345" cy="2731135"/>
            <wp:effectExtent l="0" t="0" r="8255"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4792345" cy="2731135"/>
                    </a:xfrm>
                    <a:prstGeom prst="rect">
                      <a:avLst/>
                    </a:prstGeom>
                    <a:noFill/>
                    <a:ln>
                      <a:noFill/>
                    </a:ln>
                  </pic:spPr>
                </pic:pic>
              </a:graphicData>
            </a:graphic>
          </wp:inline>
        </w:drawing>
      </w:r>
    </w:p>
    <w:p w14:paraId="1FD65CE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Cs/>
          <w:snapToGrid w:val="0"/>
          <w:color w:val="auto"/>
          <w:kern w:val="0"/>
          <w:sz w:val="24"/>
          <w:szCs w:val="24"/>
          <w:highlight w:val="none"/>
        </w:rPr>
        <w:t>（2）</w:t>
      </w:r>
      <w:r>
        <w:rPr>
          <w:rFonts w:hint="eastAsia" w:ascii="宋体" w:hAnsi="宋体" w:eastAsia="宋体" w:cs="宋体"/>
          <w:color w:val="auto"/>
          <w:sz w:val="24"/>
          <w:szCs w:val="24"/>
          <w:highlight w:val="none"/>
        </w:rPr>
        <w:t>在“信用中国”（http://www.creditchina.gov.cn/）/“中国执行信息公开网”（http://zxgk.court.gov.cn/shixin/）中被列入失信被执行人名单（以投标人提供的网站查询结果截图为准）；</w:t>
      </w:r>
    </w:p>
    <w:p w14:paraId="5A1D378E">
      <w:pPr>
        <w:adjustRightInd w:val="0"/>
        <w:snapToGrid w:val="0"/>
        <w:spacing w:line="360" w:lineRule="auto"/>
        <w:jc w:val="center"/>
        <w:rPr>
          <w:rFonts w:hint="eastAsia" w:ascii="宋体" w:hAnsi="宋体" w:eastAsia="宋体" w:cs="宋体"/>
          <w:bCs/>
          <w:snapToGrid w:val="0"/>
          <w:color w:val="auto"/>
          <w:kern w:val="0"/>
          <w:sz w:val="24"/>
          <w:szCs w:val="24"/>
          <w:highlight w:val="none"/>
        </w:rPr>
      </w:pPr>
      <w:r>
        <w:rPr>
          <w:rFonts w:hint="eastAsia" w:ascii="宋体" w:hAnsi="宋体" w:eastAsia="宋体" w:cs="宋体"/>
          <w:color w:val="auto"/>
          <w:szCs w:val="24"/>
          <w:highlight w:val="none"/>
        </w:rPr>
        <w:drawing>
          <wp:inline distT="0" distB="0" distL="114300" distR="114300">
            <wp:extent cx="4813300" cy="3042920"/>
            <wp:effectExtent l="0" t="0" r="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4813300" cy="3042920"/>
                    </a:xfrm>
                    <a:prstGeom prst="rect">
                      <a:avLst/>
                    </a:prstGeom>
                    <a:noFill/>
                    <a:ln>
                      <a:noFill/>
                    </a:ln>
                  </pic:spPr>
                </pic:pic>
              </a:graphicData>
            </a:graphic>
          </wp:inline>
        </w:drawing>
      </w:r>
    </w:p>
    <w:p w14:paraId="3DEF034D">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bCs/>
          <w:snapToGrid w:val="0"/>
          <w:color w:val="auto"/>
          <w:kern w:val="0"/>
          <w:sz w:val="24"/>
          <w:szCs w:val="24"/>
          <w:highlight w:val="none"/>
        </w:rPr>
        <w:t>（3）在“信用中国”网站中被列入重大税收违法失信主体</w:t>
      </w:r>
      <w:r>
        <w:rPr>
          <w:rFonts w:hint="eastAsia" w:ascii="宋体" w:hAnsi="宋体" w:eastAsia="宋体" w:cs="宋体"/>
          <w:color w:val="auto"/>
          <w:sz w:val="24"/>
          <w:szCs w:val="24"/>
          <w:highlight w:val="none"/>
        </w:rPr>
        <w:t>（以投标人提供的网站查询结果截图为准）。</w:t>
      </w:r>
    </w:p>
    <w:p w14:paraId="35B56479">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drawing>
          <wp:inline distT="0" distB="0" distL="114300" distR="114300">
            <wp:extent cx="4896485" cy="2727960"/>
            <wp:effectExtent l="0" t="0" r="5715" b="25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4896485" cy="2727960"/>
                    </a:xfrm>
                    <a:prstGeom prst="rect">
                      <a:avLst/>
                    </a:prstGeom>
                    <a:noFill/>
                    <a:ln>
                      <a:noFill/>
                    </a:ln>
                  </pic:spPr>
                </pic:pic>
              </a:graphicData>
            </a:graphic>
          </wp:inline>
        </w:drawing>
      </w:r>
    </w:p>
    <w:p w14:paraId="00529B71">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7</w:t>
      </w:r>
      <w:r>
        <w:rPr>
          <w:rFonts w:hint="eastAsia" w:ascii="宋体" w:hAnsi="宋体" w:eastAsia="宋体" w:cs="宋体"/>
          <w:b/>
          <w:bCs/>
          <w:snapToGrid w:val="0"/>
          <w:color w:val="auto"/>
          <w:kern w:val="0"/>
          <w:sz w:val="24"/>
          <w:highlight w:val="none"/>
          <w:lang w:bidi="en-US"/>
        </w:rPr>
        <w:t>：</w:t>
      </w:r>
    </w:p>
    <w:p w14:paraId="639D18DC">
      <w:pPr>
        <w:spacing w:line="360" w:lineRule="auto"/>
        <w:jc w:val="center"/>
        <w:rPr>
          <w:rFonts w:hint="eastAsia" w:ascii="宋体" w:hAnsi="宋体" w:eastAsia="宋体" w:cs="宋体"/>
          <w:b/>
          <w:color w:val="auto"/>
          <w:sz w:val="28"/>
          <w:szCs w:val="24"/>
          <w:highlight w:val="none"/>
        </w:rPr>
      </w:pPr>
      <w:r>
        <w:rPr>
          <w:rFonts w:hint="eastAsia" w:ascii="宋体" w:hAnsi="宋体" w:eastAsia="宋体" w:cs="宋体"/>
          <w:b/>
          <w:color w:val="auto"/>
          <w:sz w:val="28"/>
          <w:szCs w:val="24"/>
          <w:highlight w:val="none"/>
        </w:rPr>
        <w:t>无重大违法记录声明函、无不良信用记录、与中粮集团合作无不良影响行为的声明函</w:t>
      </w:r>
    </w:p>
    <w:p w14:paraId="7BBB58EB">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本公司郑重声明，我公司无以下不良信用记录情形：</w:t>
      </w:r>
    </w:p>
    <w:p w14:paraId="69B8FAC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（1）处于被责令停产停业、暂扣或者吊销执照、暂扣或者吊销许可证、吊销资质证书状态；</w:t>
      </w:r>
    </w:p>
    <w:p w14:paraId="7C7F1AD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（2）进入清算程序，或被宣告破产，或其他丧失履约能力的情形；</w:t>
      </w:r>
    </w:p>
    <w:p w14:paraId="74BA46C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（3）被中粮集团、中粮各专业化公司列入黑名单或惩戒名单；</w:t>
      </w:r>
    </w:p>
    <w:p w14:paraId="27D55C6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（4）公司董事、监事、高管人员与中粮人员有亲属关系、合作关系；</w:t>
      </w:r>
    </w:p>
    <w:p w14:paraId="095904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（5）公司董事、监事、高管人员没有吸毒、赌博等不良嗜好，法定代表人存在失信行为或负面舆论事件；</w:t>
      </w:r>
    </w:p>
    <w:p w14:paraId="5016790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（6）向中粮相关人员及亲属提供贵重礼品、回扣、礼金或有价证券、佣金等任何形式的商业贿赂行为；</w:t>
      </w:r>
    </w:p>
    <w:p w14:paraId="0201368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（7）法定代表人为同一个的两个及两个以上法人，母公司、全资子公司及其控股公司，参加此项目同一标的、线路的谈判；</w:t>
      </w:r>
    </w:p>
    <w:p w14:paraId="56F990D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（8）与其他供应商在此项目同一采购包、运输线路上串通、骗取成交的行为；</w:t>
      </w:r>
    </w:p>
    <w:p w14:paraId="14753F5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我公司承诺：合同签订前，若我公司具有以上不良信用记录情形，贵方可取消我公司成交资格或者不授予合同，所有责任由我公司自行承担。同时，我公司愿意无条件接受相关管理部门的调查处理。</w:t>
      </w:r>
    </w:p>
    <w:p w14:paraId="4D62D21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本公司对上述声明的真实性负责，如有虚假，将依法承担相应责任。</w:t>
      </w:r>
    </w:p>
    <w:p w14:paraId="6A13BB27">
      <w:pPr>
        <w:autoSpaceDE w:val="0"/>
        <w:autoSpaceDN w:val="0"/>
        <w:snapToGrid w:val="0"/>
        <w:spacing w:line="360" w:lineRule="auto"/>
        <w:ind w:firstLine="660"/>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snapToGrid w:val="0"/>
          <w:color w:val="auto"/>
          <w:sz w:val="24"/>
          <w:szCs w:val="24"/>
          <w:highlight w:val="none"/>
          <w:u w:val="single"/>
        </w:rPr>
        <w:t>（盖章）</w:t>
      </w:r>
    </w:p>
    <w:p w14:paraId="7A55F24D">
      <w:pPr>
        <w:keepNext w:val="0"/>
        <w:keepLines w:val="0"/>
        <w:pageBreakBefore w:val="0"/>
        <w:widowControl w:val="0"/>
        <w:kinsoku/>
        <w:wordWrap/>
        <w:overflowPunct/>
        <w:topLinePunct w:val="0"/>
        <w:autoSpaceDE/>
        <w:autoSpaceDN/>
        <w:bidi w:val="0"/>
        <w:adjustRightInd/>
        <w:snapToGrid/>
        <w:spacing w:line="360" w:lineRule="auto"/>
        <w:ind w:firstLine="2880" w:firstLineChars="1200"/>
        <w:jc w:val="center"/>
        <w:textAlignment w:val="auto"/>
        <w:rPr>
          <w:rFonts w:hint="eastAsia" w:ascii="宋体" w:hAnsi="宋体" w:eastAsia="宋体" w:cs="宋体"/>
          <w:b w:val="0"/>
          <w:bCs w:val="0"/>
          <w:snapToGrid w:val="0"/>
          <w:color w:val="auto"/>
          <w:kern w:val="0"/>
          <w:sz w:val="24"/>
          <w:highlight w:val="none"/>
          <w:lang w:val="en-US" w:eastAsia="zh-CN" w:bidi="en-US"/>
        </w:rPr>
      </w:pP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none"/>
          <w:lang w:val="en-US" w:eastAsia="zh-CN"/>
        </w:rPr>
        <w:t>日</w:t>
      </w:r>
    </w:p>
    <w:p w14:paraId="0324A189">
      <w:pPr>
        <w:rPr>
          <w:rFonts w:hint="eastAsia" w:ascii="宋体" w:hAnsi="宋体" w:eastAsia="宋体" w:cs="宋体"/>
          <w:color w:val="auto"/>
          <w:highlight w:val="none"/>
        </w:rPr>
      </w:pPr>
    </w:p>
    <w:p w14:paraId="1173E840">
      <w:pPr>
        <w:widowControl/>
        <w:jc w:val="left"/>
        <w:rPr>
          <w:rFonts w:hint="eastAsia" w:ascii="宋体" w:hAnsi="宋体" w:eastAsia="宋体" w:cs="宋体"/>
          <w:snapToGrid w:val="0"/>
          <w:color w:val="auto"/>
          <w:kern w:val="0"/>
          <w:sz w:val="24"/>
          <w:highlight w:val="none"/>
          <w:lang w:eastAsia="zh-CN" w:bidi="en-US"/>
        </w:rPr>
      </w:pPr>
      <w:r>
        <w:rPr>
          <w:rFonts w:hint="eastAsia" w:ascii="宋体" w:hAnsi="宋体" w:eastAsia="宋体" w:cs="宋体"/>
          <w:b/>
          <w:bCs/>
          <w:color w:val="auto"/>
          <w:szCs w:val="21"/>
          <w:highlight w:val="none"/>
          <w:lang w:bidi="ar"/>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8：</w:t>
      </w:r>
    </w:p>
    <w:p w14:paraId="4EC41814">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中粮家佳康关于货物运输管理中生物安全防控的通知</w:t>
      </w:r>
    </w:p>
    <w:p w14:paraId="521D0182">
      <w:pPr>
        <w:widowControl/>
        <w:kinsoku w:val="0"/>
        <w:autoSpaceDE w:val="0"/>
        <w:autoSpaceDN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为加强生物安全管控，切断病源通过车辆及运输环节等污染货物的途径，保证运输途中货物的安全，确保货物无疫情传播隐患，我司要求供中粮家佳康货物的供应商和物流商认可并支持中粮防非要求，遵循以下条款：</w:t>
      </w:r>
    </w:p>
    <w:p w14:paraId="7A6DE04B">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一、供应商应明晰中粮家佳康对运输车辆的要求，选择符合要求的运输车辆，并对运输司机进行“本通知”所要求条款的培训及行为约束。</w:t>
      </w:r>
    </w:p>
    <w:p w14:paraId="4363B5EE">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二、供应商应承诺所有合作的运输车辆 45 天内未运输过牲畜、家禽、肉蛋奶制品类货物，禁止使用运猪车装送原料，一经发现，中粮家佳康不予取样，直接按货物不合格退货处理。</w:t>
      </w:r>
    </w:p>
    <w:p w14:paraId="0A5C292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 xml:space="preserve">三、运输车辆及司乘人员禁止携带一切与肉相关的产品（包括但不限于鲜肉、腊肉、熏肉、腌制肉、火腿肠、猪肉馅饺子/包子等）及其包装物，不得携带已拆封的方便面。 </w:t>
      </w:r>
    </w:p>
    <w:p w14:paraId="7F603E87">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四、运输前应要求司机合理规划运输路线，司机运输货物途中避免接触或接近牛群、羊群、以及屠宰场等有风险的污染源。</w:t>
      </w:r>
    </w:p>
    <w:p w14:paraId="1B08A586">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五、严禁将从其他公司退货或者去过养殖场的货物送到中粮家佳康，一经发现立即终止合作。</w:t>
      </w:r>
    </w:p>
    <w:p w14:paraId="4B17A54A">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 xml:space="preserve">六、运输车辆装货前，供应商应对车辆清洁消毒后装货，不可有眼观的杂物、污物。 </w:t>
      </w:r>
    </w:p>
    <w:p w14:paraId="093148D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七、供应商和物流商应遵循以下中粮家佳康进厂条件：</w:t>
      </w:r>
    </w:p>
    <w:p w14:paraId="06E130EE">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 xml:space="preserve">1、司机配合中粮家佳康工作人员完成入厂洗消、货物的取样和查验工作。 </w:t>
      </w:r>
    </w:p>
    <w:p w14:paraId="19FD3302">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2、运输司机应遵循中粮家佳康的生物安全要求，司机、运输车辆消毒完成并获得中粮家佳康批准入厂后，由工厂人员指引行车路线进入厂区。</w:t>
      </w:r>
    </w:p>
    <w:p w14:paraId="7346C55C">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八、以上条款请供应商知悉，并严格遵守，经检查不符合我司各项要求的货物我司有权进行退货处理，最终解释权归中粮家佳康养殖部所有。</w:t>
      </w:r>
    </w:p>
    <w:p w14:paraId="4149425A">
      <w:pPr>
        <w:snapToGrid w:val="0"/>
        <w:spacing w:line="360" w:lineRule="auto"/>
        <w:rPr>
          <w:rFonts w:hint="eastAsia" w:ascii="宋体" w:hAnsi="宋体" w:eastAsia="宋体" w:cs="宋体"/>
          <w:sz w:val="22"/>
          <w:szCs w:val="21"/>
          <w:highlight w:val="none"/>
          <w:u w:val="single"/>
          <w:lang w:bidi="en-US"/>
        </w:rPr>
      </w:pPr>
      <w:r>
        <w:rPr>
          <w:rFonts w:hint="eastAsia" w:ascii="宋体" w:hAnsi="宋体" w:eastAsia="宋体" w:cs="宋体"/>
          <w:snapToGrid w:val="0"/>
          <w:kern w:val="0"/>
          <w:sz w:val="22"/>
          <w:szCs w:val="21"/>
          <w:highlight w:val="none"/>
          <w:lang w:bidi="en-US"/>
        </w:rPr>
        <w:t>致：</w:t>
      </w:r>
      <w:r>
        <w:rPr>
          <w:rFonts w:hint="eastAsia" w:ascii="宋体" w:hAnsi="宋体" w:eastAsia="宋体" w:cs="宋体"/>
          <w:sz w:val="22"/>
          <w:highlight w:val="none"/>
          <w:u w:val="single"/>
        </w:rPr>
        <w:t>中粮集团有限公司</w:t>
      </w:r>
    </w:p>
    <w:p w14:paraId="7D0920AE">
      <w:pPr>
        <w:snapToGrid w:val="0"/>
        <w:spacing w:line="360" w:lineRule="auto"/>
        <w:rPr>
          <w:rFonts w:hint="eastAsia" w:ascii="宋体" w:hAnsi="宋体" w:eastAsia="宋体" w:cs="宋体"/>
          <w:snapToGrid w:val="0"/>
          <w:kern w:val="0"/>
          <w:sz w:val="22"/>
          <w:szCs w:val="21"/>
          <w:highlight w:val="none"/>
          <w:lang w:bidi="en-US"/>
        </w:rPr>
      </w:pPr>
      <w:r>
        <w:rPr>
          <w:rFonts w:hint="eastAsia" w:ascii="宋体" w:hAnsi="宋体" w:eastAsia="宋体" w:cs="宋体"/>
          <w:sz w:val="22"/>
          <w:szCs w:val="21"/>
          <w:highlight w:val="none"/>
          <w:u w:val="single"/>
          <w:lang w:bidi="en-US"/>
        </w:rPr>
        <w:t>安徽省招标集团股份有限公司</w:t>
      </w:r>
    </w:p>
    <w:p w14:paraId="5EE86B0D">
      <w:pPr>
        <w:spacing w:line="360" w:lineRule="auto"/>
        <w:ind w:firstLine="330" w:firstLineChars="150"/>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我单位已</w:t>
      </w:r>
      <w:r>
        <w:rPr>
          <w:rFonts w:hint="eastAsia" w:ascii="宋体" w:hAnsi="宋体" w:eastAsia="宋体" w:cs="宋体"/>
          <w:snapToGrid w:val="0"/>
          <w:kern w:val="0"/>
          <w:sz w:val="22"/>
          <w:szCs w:val="21"/>
          <w:highlight w:val="none"/>
          <w:lang w:val="en-US" w:eastAsia="zh-CN" w:bidi="en-US"/>
        </w:rPr>
        <w:t>认真</w:t>
      </w:r>
      <w:r>
        <w:rPr>
          <w:rFonts w:hint="eastAsia" w:ascii="宋体" w:hAnsi="宋体" w:eastAsia="宋体" w:cs="宋体"/>
          <w:snapToGrid w:val="0"/>
          <w:kern w:val="0"/>
          <w:sz w:val="22"/>
          <w:szCs w:val="21"/>
          <w:highlight w:val="none"/>
          <w:lang w:bidi="en-US"/>
        </w:rPr>
        <w:t>阅读并知悉以上要求，我单位承诺将严格按照上述要求进行项目服务。若有违反，将承担全部责任。</w:t>
      </w:r>
    </w:p>
    <w:p w14:paraId="2E1E93BC">
      <w:pPr>
        <w:spacing w:line="360" w:lineRule="auto"/>
        <w:ind w:firstLine="330" w:firstLineChars="150"/>
        <w:jc w:val="center"/>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供应商：</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lang w:bidi="en-US"/>
        </w:rPr>
        <w:t>（盖章）</w:t>
      </w:r>
    </w:p>
    <w:p w14:paraId="2C9B7089">
      <w:pPr>
        <w:spacing w:line="360" w:lineRule="auto"/>
        <w:ind w:firstLine="1320" w:firstLineChars="600"/>
        <w:jc w:val="center"/>
        <w:rPr>
          <w:rFonts w:hint="eastAsia" w:ascii="宋体" w:hAnsi="宋体" w:eastAsia="宋体" w:cs="宋体"/>
          <w:b/>
          <w:snapToGrid w:val="0"/>
          <w:color w:val="auto"/>
          <w:sz w:val="36"/>
          <w:highlight w:val="none"/>
          <w:lang w:bidi="en-US"/>
        </w:rPr>
      </w:pP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年</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月</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日</w:t>
      </w:r>
    </w:p>
    <w:p w14:paraId="00449803">
      <w:pPr>
        <w:snapToGrid w:val="0"/>
        <w:spacing w:line="360" w:lineRule="auto"/>
        <w:jc w:val="center"/>
        <w:rPr>
          <w:rFonts w:hint="eastAsia" w:ascii="宋体" w:hAnsi="宋体" w:eastAsia="宋体" w:cs="宋体"/>
          <w:b/>
          <w:snapToGrid w:val="0"/>
          <w:color w:val="auto"/>
          <w:sz w:val="36"/>
          <w:highlight w:val="none"/>
          <w:lang w:bidi="en-US"/>
        </w:rPr>
      </w:pPr>
    </w:p>
    <w:p w14:paraId="2C6261EE">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br w:type="page"/>
      </w:r>
    </w:p>
    <w:p w14:paraId="1FC76824">
      <w:pPr>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9：</w:t>
      </w:r>
    </w:p>
    <w:p w14:paraId="2EACA794">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中粮家佳康关于生物安全防控的通知-牲猪运输物流</w:t>
      </w:r>
    </w:p>
    <w:p w14:paraId="502D5198">
      <w:pPr>
        <w:widowControl/>
        <w:kinsoku w:val="0"/>
        <w:autoSpaceDE w:val="0"/>
        <w:autoSpaceDN w:val="0"/>
        <w:adjustRightInd w:val="0"/>
        <w:snapToGrid w:val="0"/>
        <w:spacing w:line="360" w:lineRule="auto"/>
        <w:ind w:firstLine="440" w:firstLineChars="200"/>
        <w:jc w:val="left"/>
        <w:textAlignment w:val="baseline"/>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为加强生物安全管控，切断病源通过车辆及运输环节等污染货物的途径，保证运输途中货物的安全，确保货物无疫情传播隐患，我司要求供中粮家佳康货物的供应商和物流商认可并支持中粮防非要求，遵循以下条款：</w:t>
      </w:r>
    </w:p>
    <w:p w14:paraId="62C8256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w:t>
      </w:r>
      <w:r>
        <w:rPr>
          <w:rFonts w:hint="eastAsia" w:ascii="宋体" w:hAnsi="宋体" w:eastAsia="宋体" w:cs="宋体"/>
          <w:snapToGrid w:val="0"/>
          <w:color w:val="auto"/>
          <w:kern w:val="0"/>
          <w:sz w:val="22"/>
          <w:szCs w:val="28"/>
          <w:highlight w:val="none"/>
        </w:rPr>
        <w:t>成交供应商须提供性能良好、车况整洁符合要求的专用车辆；成交供应商提供的所有封闭车辆均应能够满足NY/T4032-2021封闭式牲猪运输车辆生物安全技术要求，车辆结构合理，组装牢固，配备密封措施，避免牲猪受感染或污染，防止动物排泄物遗洒、渗漏。满足GB/T20014.11良好农业规范有关畜禽公路运输控制点与符合性规范有关要求。</w:t>
      </w:r>
    </w:p>
    <w:p w14:paraId="3D068D9E">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2.</w:t>
      </w:r>
      <w:r>
        <w:rPr>
          <w:rFonts w:hint="eastAsia" w:ascii="宋体" w:hAnsi="宋体" w:eastAsia="宋体" w:cs="宋体"/>
          <w:snapToGrid w:val="0"/>
          <w:color w:val="auto"/>
          <w:kern w:val="0"/>
          <w:sz w:val="22"/>
          <w:szCs w:val="28"/>
          <w:highlight w:val="none"/>
        </w:rPr>
        <w:t>成交供应商应具备相应资质证件并依法从事牲猪运输，确保具备相应合法有效的运输车辆、行车营运证件、保险及其他相关合法手续，驾驶人员具备驾驶证等合法证件。</w:t>
      </w:r>
    </w:p>
    <w:p w14:paraId="76A1D2F7">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3.</w:t>
      </w:r>
      <w:r>
        <w:rPr>
          <w:rFonts w:hint="eastAsia" w:ascii="宋体" w:hAnsi="宋体" w:eastAsia="宋体" w:cs="宋体"/>
          <w:snapToGrid w:val="0"/>
          <w:color w:val="auto"/>
          <w:kern w:val="0"/>
          <w:sz w:val="22"/>
          <w:szCs w:val="28"/>
          <w:highlight w:val="none"/>
        </w:rPr>
        <w:t>成交供应商车辆应配置照明设备、车载GPS定位系统、行车记录仪、视频监控系统；具备饮水系统；（除高栏车外）具备通风系统、空气过滤系统、温控系统等。</w:t>
      </w:r>
    </w:p>
    <w:p w14:paraId="056392A4">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4.</w:t>
      </w:r>
      <w:r>
        <w:rPr>
          <w:rFonts w:hint="eastAsia" w:ascii="宋体" w:hAnsi="宋体" w:eastAsia="宋体" w:cs="宋体"/>
          <w:snapToGrid w:val="0"/>
          <w:color w:val="auto"/>
          <w:kern w:val="0"/>
          <w:sz w:val="22"/>
          <w:szCs w:val="28"/>
          <w:highlight w:val="none"/>
        </w:rPr>
        <w:t>成交供应商车辆需配备备用微型发电机为甲方车辆标准配置要求。</w:t>
      </w:r>
    </w:p>
    <w:p w14:paraId="3DBB003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5.</w:t>
      </w:r>
      <w:r>
        <w:rPr>
          <w:rFonts w:hint="eastAsia" w:ascii="宋体" w:hAnsi="宋体" w:eastAsia="宋体" w:cs="宋体"/>
          <w:snapToGrid w:val="0"/>
          <w:color w:val="auto"/>
          <w:kern w:val="0"/>
          <w:sz w:val="22"/>
          <w:szCs w:val="28"/>
          <w:highlight w:val="none"/>
        </w:rPr>
        <w:t>成交供应商承运的全封闭恒温牲猪运输车辆的空调、温度探头等设施设备需完好无损，制冷、制热温度能达到10-28℃之间，并可以正常使用。</w:t>
      </w:r>
    </w:p>
    <w:p w14:paraId="370E1A81">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6.</w:t>
      </w:r>
      <w:r>
        <w:rPr>
          <w:rFonts w:hint="eastAsia" w:ascii="宋体" w:hAnsi="宋体" w:eastAsia="宋体" w:cs="宋体"/>
          <w:snapToGrid w:val="0"/>
          <w:color w:val="auto"/>
          <w:kern w:val="0"/>
          <w:sz w:val="22"/>
          <w:szCs w:val="28"/>
          <w:highlight w:val="none"/>
        </w:rPr>
        <w:t>成交供应商承运的全封闭恒温牲猪运输车辆，每次承运前必须更换全新的空气过滤装制。全封闭恒温车需按标准配置精滤(F8或F9)及粗滤（G4）。</w:t>
      </w:r>
    </w:p>
    <w:p w14:paraId="001181E1">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7.</w:t>
      </w:r>
      <w:r>
        <w:rPr>
          <w:rFonts w:hint="eastAsia" w:ascii="宋体" w:hAnsi="宋体" w:eastAsia="宋体" w:cs="宋体"/>
          <w:snapToGrid w:val="0"/>
          <w:color w:val="auto"/>
          <w:kern w:val="0"/>
          <w:sz w:val="22"/>
          <w:szCs w:val="28"/>
          <w:highlight w:val="none"/>
        </w:rPr>
        <w:t>成交供应商承运车辆，车厢内部需符合以下要求：车厢采用封闭式框架结构，部分或整体开启时通风良好，带空气过滤功能的车型在侧板密闭状态下厢体密封性良好。车厢内部设计合理，车厢壁及底部、隔板耐腐蚀、防渗漏、耐高温、防火，表面无毛刺或尖锐凸起部分，底板及地板采用竖纹或斜纹防滑，纹路宽度≤2cm，便于清洗、消毒和烘干，所有接缝连接严密。车顶板具有隔热性能。车厢内猪栏分层分栏设置，单层净高确保猪只正常站立，每层配置分栏隔断。各层猪栏进出口位于车厢尾部，便于与出猪通道良好衔接，门窗处加装围栏，防止运输过程中猪只跌落或碰撞损坏。车厢设有可从外部开启的应急门窗，满足应急情况下通风和观察牲猪状态的需求。</w:t>
      </w:r>
    </w:p>
    <w:p w14:paraId="63F470B4">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8.</w:t>
      </w:r>
      <w:r>
        <w:rPr>
          <w:rFonts w:hint="eastAsia" w:ascii="宋体" w:hAnsi="宋体" w:eastAsia="宋体" w:cs="宋体"/>
          <w:snapToGrid w:val="0"/>
          <w:color w:val="auto"/>
          <w:kern w:val="0"/>
          <w:sz w:val="22"/>
          <w:szCs w:val="28"/>
          <w:highlight w:val="none"/>
        </w:rPr>
        <w:t>成交供应商承运单程700公里及以上运输时，每台车须配备2名驾驶员并积极配合转运中的各项工作；</w:t>
      </w:r>
    </w:p>
    <w:p w14:paraId="59D9F7C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9.</w:t>
      </w:r>
      <w:r>
        <w:rPr>
          <w:rFonts w:hint="eastAsia" w:ascii="宋体" w:hAnsi="宋体" w:eastAsia="宋体" w:cs="宋体"/>
          <w:snapToGrid w:val="0"/>
          <w:color w:val="auto"/>
          <w:kern w:val="0"/>
          <w:sz w:val="22"/>
          <w:szCs w:val="28"/>
          <w:highlight w:val="none"/>
        </w:rPr>
        <w:t>成交供应商应在公司组织架构、人员异动、管理制度、承运车辆等发生变更时须在中粮家佳康养殖部和各区域公司备案；</w:t>
      </w:r>
    </w:p>
    <w:p w14:paraId="22D14821">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10.</w:t>
      </w:r>
      <w:r>
        <w:rPr>
          <w:rFonts w:hint="eastAsia" w:ascii="宋体" w:hAnsi="宋体" w:eastAsia="宋体" w:cs="宋体"/>
          <w:snapToGrid w:val="0"/>
          <w:color w:val="auto"/>
          <w:kern w:val="0"/>
          <w:sz w:val="22"/>
          <w:szCs w:val="28"/>
          <w:highlight w:val="none"/>
        </w:rPr>
        <w:t>成交供应商应保证运输期间猪只安全。运输途中因交通事故、车辆故障、天气原因造成的猪只运输滞留，成交供应商应在事故发生1个小时内告知采购方，同时出具有效的解决方案并采取行动，以保证猪的及时、安全到达。若因交通事故导致采购方损失的，成交供应商根据市场价进行赔偿；非因事故死亡的：（1）种猪本批次运输死亡千分之八以下承运方免责，超出千分之八的部分根据市场价赔偿；但每车3头以下承运方免责，超出3头根据市场价赔偿。（2）苗猪本批次运输死亡千分之三以下承运方免责，超过千分之三的部分根据市场价赔偿；但每车8头以下承运方免责，超出8头根据市场价赔偿。（3）肥猪本批次运输死亡千分之八以下承运方免责，超过千分之八的部分根据市场价赔偿；但每车3头以下承运方免责，超出3头根据市场价赔偿。</w:t>
      </w:r>
    </w:p>
    <w:p w14:paraId="0B378F91">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11.</w:t>
      </w:r>
      <w:r>
        <w:rPr>
          <w:rFonts w:hint="eastAsia" w:ascii="宋体" w:hAnsi="宋体" w:eastAsia="宋体" w:cs="宋体"/>
          <w:snapToGrid w:val="0"/>
          <w:color w:val="auto"/>
          <w:kern w:val="0"/>
          <w:sz w:val="22"/>
          <w:szCs w:val="28"/>
          <w:highlight w:val="none"/>
        </w:rPr>
        <w:t>成交供应商应按采购方规定路线行驶，如要更改路线，需提前报备至采购方，经采购方同意后方可更改路线。若因未按照规定路线且未提前报备造成采购方损失，全部损失由成交供应商承担。</w:t>
      </w:r>
    </w:p>
    <w:p w14:paraId="1CAE4BB3">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12.</w:t>
      </w:r>
      <w:r>
        <w:rPr>
          <w:rFonts w:hint="eastAsia" w:ascii="宋体" w:hAnsi="宋体" w:eastAsia="宋体" w:cs="宋体"/>
          <w:snapToGrid w:val="0"/>
          <w:color w:val="auto"/>
          <w:kern w:val="0"/>
          <w:sz w:val="22"/>
          <w:szCs w:val="28"/>
          <w:highlight w:val="none"/>
        </w:rPr>
        <w:t>成交供应商应服从区域公司及养殖场猪只装卸日常管理制度；</w:t>
      </w:r>
    </w:p>
    <w:p w14:paraId="679E6225">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13.</w:t>
      </w:r>
      <w:r>
        <w:rPr>
          <w:rFonts w:hint="eastAsia" w:ascii="宋体" w:hAnsi="宋体" w:eastAsia="宋体" w:cs="宋体"/>
          <w:snapToGrid w:val="0"/>
          <w:color w:val="auto"/>
          <w:kern w:val="0"/>
          <w:sz w:val="22"/>
          <w:szCs w:val="28"/>
          <w:highlight w:val="none"/>
        </w:rPr>
        <w:t>成交供应商应服从采购方生物安全管控要求，能接受公司根据实际情况修正的生物安全管控要求；不限于以下要求：</w:t>
      </w:r>
    </w:p>
    <w:p w14:paraId="71B694DF">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成交供应商运输车辆在采购方指定洗消点检测合格后进行清洗消毒烘干，由区域兽医鉴定合格后前往装猪地点，运猪前需再次进行清洗消毒，消毒完后在指定地点等待装猪。</w:t>
      </w:r>
    </w:p>
    <w:p w14:paraId="31CDF962">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运输期间，成交供应商运输司机服从采购方管理，成交供应商车辆驾驶员出发前经采购方培训并签订生物安全承诺书。包括但不限于按采购方指定路线行驶，按采购方要求上下车辆，汇报车辆信息和生物安全相关等要求。</w:t>
      </w:r>
    </w:p>
    <w:p w14:paraId="16AC4F60">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成交供应商运输车辆禁止急开急停，减少对猪只的损伤和应激。运输途中，如遇与本次运输无关的其他动物运输车辆，应迅速避让，至少远离此类车辆1公里以外行驶并第一时间告知采购方相应情况。禁止在直线500米以内的距离与本次运输无关的其他动物运输车停放在一起。</w:t>
      </w:r>
    </w:p>
    <w:p w14:paraId="15B33760">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整个运输期内，成交供应商相关人员禁止食用猪肉、牛肉、羊肉、狗肉等畜产品，但是可以食用禽类和鱼类。整个运输期内，车辆和参与运输人员禁止接触其它相关家畜，禁止携带与本次运输无关的其他任何动物进入车体。</w:t>
      </w:r>
    </w:p>
    <w:p w14:paraId="1A403052">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到达猪场时车体外部不得有肉眼可见的动物排泄物（粪、尿、粘液）或动物组织（血液、皮肤、猪毛、肉、蹄甲），轮胎/挡泥板必须清洗干净；</w:t>
      </w:r>
    </w:p>
    <w:p w14:paraId="792477F2">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到养殖场时，司机根据管理要求决定是否沐浴更衣及全程是否允许下车；</w:t>
      </w:r>
    </w:p>
    <w:p w14:paraId="1B6C9778">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猪车进养殖场时需在门口消毒池中冲洗消毒（按兽医部要求配制消毒液、车体、底盘、泥瓦盖下面不得有污渍）；</w:t>
      </w:r>
    </w:p>
    <w:p w14:paraId="3AE5C8D7">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司机用浸泡过消毒剂（规定稀释比例）的抹布擦拭驾驶室方向盘、脚垫、操纵杆、各面板等；</w:t>
      </w:r>
    </w:p>
    <w:p w14:paraId="1859E53E">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消毒完毕后车辆高温烘干；</w:t>
      </w:r>
    </w:p>
    <w:p w14:paraId="3339F715">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司机不得在猪场留宿或在食堂内进行餐饮活动；</w:t>
      </w:r>
    </w:p>
    <w:p w14:paraId="7CBE32A6">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司机不得接触猪场的动物性污染源（如死猪），不得携带未经许可的场区物资出场；</w:t>
      </w:r>
    </w:p>
    <w:p w14:paraId="3813E20C">
      <w:pPr>
        <w:pStyle w:val="5"/>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司机离开猪场时需退还提供的鞋服并放置在指定地点；</w:t>
      </w:r>
    </w:p>
    <w:p w14:paraId="03242B9F">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14.</w:t>
      </w:r>
      <w:r>
        <w:rPr>
          <w:rFonts w:hint="eastAsia" w:ascii="宋体" w:hAnsi="宋体" w:eastAsia="宋体" w:cs="宋体"/>
          <w:snapToGrid w:val="0"/>
          <w:color w:val="auto"/>
          <w:kern w:val="0"/>
          <w:sz w:val="22"/>
          <w:szCs w:val="28"/>
          <w:highlight w:val="none"/>
        </w:rPr>
        <w:t>采购方根据生物安全检查结果，对不符合生物安全要求的车辆，成交供应商需在4小时内整改，未整改或整改不达标的车辆给予劝退；</w:t>
      </w:r>
    </w:p>
    <w:p w14:paraId="00E0F885">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15.</w:t>
      </w:r>
      <w:r>
        <w:rPr>
          <w:rFonts w:hint="eastAsia" w:ascii="宋体" w:hAnsi="宋体" w:eastAsia="宋体" w:cs="宋体"/>
          <w:snapToGrid w:val="0"/>
          <w:color w:val="auto"/>
          <w:kern w:val="0"/>
          <w:sz w:val="22"/>
          <w:szCs w:val="28"/>
          <w:highlight w:val="none"/>
        </w:rPr>
        <w:t>成交供应商要接受采购方定期审核与不定期飞检，对审核出的问题限期整改，若不能完成，采购方有权终止合同；</w:t>
      </w:r>
    </w:p>
    <w:p w14:paraId="2AC51ED6">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16.</w:t>
      </w:r>
      <w:r>
        <w:rPr>
          <w:rFonts w:hint="eastAsia" w:ascii="宋体" w:hAnsi="宋体" w:eastAsia="宋体" w:cs="宋体"/>
          <w:snapToGrid w:val="0"/>
          <w:color w:val="auto"/>
          <w:kern w:val="0"/>
          <w:sz w:val="22"/>
          <w:szCs w:val="28"/>
          <w:highlight w:val="none"/>
        </w:rPr>
        <w:t>接受采购方每年对成交供应商做一次承包方能力评估，评估不合格，采购方有权终止合同。</w:t>
      </w:r>
    </w:p>
    <w:p w14:paraId="1AA97CE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17.</w:t>
      </w:r>
      <w:r>
        <w:rPr>
          <w:rFonts w:hint="eastAsia" w:ascii="宋体" w:hAnsi="宋体" w:eastAsia="宋体" w:cs="宋体"/>
          <w:snapToGrid w:val="0"/>
          <w:color w:val="auto"/>
          <w:kern w:val="0"/>
          <w:sz w:val="22"/>
          <w:szCs w:val="28"/>
          <w:highlight w:val="none"/>
        </w:rPr>
        <w:t>成交供应商在承运过程中严禁弄虚作假、徇私舞弊，一经证实取消该物流公司在本区域所有运输资格，终止合同。</w:t>
      </w:r>
    </w:p>
    <w:p w14:paraId="064D37A9">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18.</w:t>
      </w:r>
      <w:r>
        <w:rPr>
          <w:rFonts w:hint="eastAsia" w:ascii="宋体" w:hAnsi="宋体" w:eastAsia="宋体" w:cs="宋体"/>
          <w:snapToGrid w:val="0"/>
          <w:color w:val="auto"/>
          <w:kern w:val="0"/>
          <w:sz w:val="22"/>
          <w:szCs w:val="28"/>
          <w:highlight w:val="none"/>
        </w:rPr>
        <w:t>合同期内成交供应商需严格按照采购方所需车辆数提供合格车辆以确保采购方能按计划完成运输。对不能及时提供车辆的，视同恶意竞标，采购方有权对成交供应商的保证金进行扣款。</w:t>
      </w:r>
    </w:p>
    <w:p w14:paraId="63AD70C2">
      <w:pPr>
        <w:snapToGrid w:val="0"/>
        <w:spacing w:line="360" w:lineRule="auto"/>
        <w:rPr>
          <w:rFonts w:hint="eastAsia" w:ascii="宋体" w:hAnsi="宋体" w:eastAsia="宋体" w:cs="宋体"/>
          <w:color w:val="auto"/>
          <w:sz w:val="22"/>
          <w:szCs w:val="21"/>
          <w:highlight w:val="none"/>
          <w:u w:val="single"/>
          <w:lang w:bidi="en-US"/>
        </w:rPr>
      </w:pPr>
      <w:r>
        <w:rPr>
          <w:rFonts w:hint="eastAsia" w:ascii="宋体" w:hAnsi="宋体" w:eastAsia="宋体" w:cs="宋体"/>
          <w:snapToGrid w:val="0"/>
          <w:color w:val="auto"/>
          <w:kern w:val="0"/>
          <w:sz w:val="22"/>
          <w:szCs w:val="21"/>
          <w:highlight w:val="none"/>
          <w:lang w:bidi="en-US"/>
        </w:rPr>
        <w:t>致：</w:t>
      </w:r>
      <w:r>
        <w:rPr>
          <w:rFonts w:hint="eastAsia" w:ascii="宋体" w:hAnsi="宋体" w:eastAsia="宋体" w:cs="宋体"/>
          <w:color w:val="auto"/>
          <w:sz w:val="22"/>
          <w:highlight w:val="none"/>
          <w:u w:val="single"/>
        </w:rPr>
        <w:t>中粮集团有限公司</w:t>
      </w:r>
    </w:p>
    <w:p w14:paraId="26802EAF">
      <w:pPr>
        <w:snapToGrid w:val="0"/>
        <w:spacing w:line="360" w:lineRule="auto"/>
        <w:rPr>
          <w:rFonts w:hint="eastAsia" w:ascii="宋体" w:hAnsi="宋体" w:eastAsia="宋体" w:cs="宋体"/>
          <w:snapToGrid w:val="0"/>
          <w:color w:val="auto"/>
          <w:kern w:val="0"/>
          <w:sz w:val="22"/>
          <w:szCs w:val="21"/>
          <w:highlight w:val="none"/>
          <w:lang w:bidi="en-US"/>
        </w:rPr>
      </w:pPr>
      <w:r>
        <w:rPr>
          <w:rFonts w:hint="eastAsia" w:ascii="宋体" w:hAnsi="宋体" w:eastAsia="宋体" w:cs="宋体"/>
          <w:color w:val="auto"/>
          <w:sz w:val="22"/>
          <w:szCs w:val="21"/>
          <w:highlight w:val="none"/>
          <w:lang w:bidi="en-US"/>
        </w:rPr>
        <w:t xml:space="preserve">    </w:t>
      </w:r>
      <w:r>
        <w:rPr>
          <w:rFonts w:hint="eastAsia" w:ascii="宋体" w:hAnsi="宋体" w:eastAsia="宋体" w:cs="宋体"/>
          <w:color w:val="auto"/>
          <w:sz w:val="22"/>
          <w:szCs w:val="21"/>
          <w:highlight w:val="none"/>
          <w:u w:val="single"/>
          <w:lang w:bidi="en-US"/>
        </w:rPr>
        <w:t xml:space="preserve">  安徽省招标集团股份有限公司</w:t>
      </w:r>
    </w:p>
    <w:p w14:paraId="3E6622B6">
      <w:pPr>
        <w:spacing w:line="360" w:lineRule="auto"/>
        <w:ind w:firstLine="330" w:firstLineChars="150"/>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我单位已</w:t>
      </w:r>
      <w:r>
        <w:rPr>
          <w:rFonts w:hint="eastAsia" w:ascii="宋体" w:hAnsi="宋体" w:eastAsia="宋体" w:cs="宋体"/>
          <w:snapToGrid w:val="0"/>
          <w:kern w:val="0"/>
          <w:sz w:val="22"/>
          <w:szCs w:val="21"/>
          <w:highlight w:val="none"/>
          <w:lang w:val="en-US" w:eastAsia="zh-CN" w:bidi="en-US"/>
        </w:rPr>
        <w:t>认真</w:t>
      </w:r>
      <w:r>
        <w:rPr>
          <w:rFonts w:hint="eastAsia" w:ascii="宋体" w:hAnsi="宋体" w:eastAsia="宋体" w:cs="宋体"/>
          <w:snapToGrid w:val="0"/>
          <w:kern w:val="0"/>
          <w:sz w:val="22"/>
          <w:szCs w:val="21"/>
          <w:highlight w:val="none"/>
          <w:lang w:bidi="en-US"/>
        </w:rPr>
        <w:t>阅读并知悉以上要求，我单位承诺将严格按照上述要求进行项目服务。若有违反，将承担全部责任。</w:t>
      </w:r>
    </w:p>
    <w:p w14:paraId="57E1EFA0">
      <w:pPr>
        <w:spacing w:line="360" w:lineRule="auto"/>
        <w:ind w:firstLine="330" w:firstLineChars="150"/>
        <w:jc w:val="center"/>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供应商：</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lang w:bidi="en-US"/>
        </w:rPr>
        <w:t>（盖章）</w:t>
      </w:r>
    </w:p>
    <w:p w14:paraId="1373232A">
      <w:pPr>
        <w:spacing w:line="360" w:lineRule="auto"/>
        <w:ind w:firstLine="1320" w:firstLineChars="600"/>
        <w:jc w:val="center"/>
        <w:rPr>
          <w:rFonts w:hint="eastAsia" w:ascii="宋体" w:hAnsi="宋体" w:eastAsia="宋体" w:cs="宋体"/>
          <w:b/>
          <w:snapToGrid w:val="0"/>
          <w:color w:val="auto"/>
          <w:sz w:val="36"/>
          <w:highlight w:val="none"/>
          <w:lang w:bidi="en-US"/>
        </w:rPr>
      </w:pP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年</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月</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日</w:t>
      </w:r>
    </w:p>
    <w:p w14:paraId="6762C6F2">
      <w:pPr>
        <w:widowControl/>
        <w:jc w:val="left"/>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color w:val="auto"/>
          <w:szCs w:val="21"/>
          <w:highlight w:val="none"/>
          <w:lang w:bidi="ar"/>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10：</w:t>
      </w:r>
    </w:p>
    <w:p w14:paraId="7667216F">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中粮粮谷面粉（采购包74）响应承诺函</w:t>
      </w:r>
    </w:p>
    <w:p w14:paraId="1587E0FF">
      <w:pPr>
        <w:snapToGrid w:val="0"/>
        <w:spacing w:line="360" w:lineRule="auto"/>
        <w:rPr>
          <w:rFonts w:hint="eastAsia" w:ascii="宋体" w:hAnsi="宋体" w:eastAsia="宋体" w:cs="宋体"/>
          <w:color w:val="auto"/>
          <w:sz w:val="24"/>
          <w:szCs w:val="21"/>
          <w:highlight w:val="none"/>
          <w:u w:val="single"/>
          <w:lang w:bidi="en-US"/>
        </w:rPr>
      </w:pPr>
      <w:r>
        <w:rPr>
          <w:rFonts w:hint="eastAsia" w:ascii="宋体" w:hAnsi="宋体" w:eastAsia="宋体" w:cs="宋体"/>
          <w:snapToGrid w:val="0"/>
          <w:color w:val="auto"/>
          <w:kern w:val="0"/>
          <w:sz w:val="24"/>
          <w:szCs w:val="21"/>
          <w:highlight w:val="none"/>
          <w:lang w:bidi="en-US"/>
        </w:rPr>
        <w:t>致：</w:t>
      </w:r>
      <w:r>
        <w:rPr>
          <w:rFonts w:hint="eastAsia" w:ascii="宋体" w:hAnsi="宋体" w:eastAsia="宋体" w:cs="宋体"/>
          <w:color w:val="auto"/>
          <w:sz w:val="24"/>
          <w:highlight w:val="none"/>
          <w:u w:val="single"/>
        </w:rPr>
        <w:t>中粮集团有限公司</w:t>
      </w:r>
    </w:p>
    <w:p w14:paraId="3AB9385D">
      <w:pPr>
        <w:snapToGrid w:val="0"/>
        <w:spacing w:line="360" w:lineRule="auto"/>
        <w:rPr>
          <w:rFonts w:hint="eastAsia" w:ascii="宋体" w:hAnsi="宋体" w:eastAsia="宋体" w:cs="宋体"/>
          <w:color w:val="auto"/>
          <w:sz w:val="24"/>
          <w:szCs w:val="21"/>
          <w:highlight w:val="none"/>
          <w:lang w:bidi="en-US"/>
        </w:rPr>
      </w:pPr>
      <w:r>
        <w:rPr>
          <w:rFonts w:hint="eastAsia" w:ascii="宋体" w:hAnsi="宋体" w:eastAsia="宋体" w:cs="宋体"/>
          <w:color w:val="auto"/>
          <w:sz w:val="24"/>
          <w:szCs w:val="21"/>
          <w:highlight w:val="none"/>
          <w:lang w:bidi="en-US"/>
        </w:rPr>
        <w:t xml:space="preserve">    </w:t>
      </w:r>
      <w:r>
        <w:rPr>
          <w:rFonts w:hint="eastAsia" w:ascii="宋体" w:hAnsi="宋体" w:eastAsia="宋体" w:cs="宋体"/>
          <w:color w:val="auto"/>
          <w:sz w:val="24"/>
          <w:szCs w:val="21"/>
          <w:highlight w:val="none"/>
          <w:u w:val="single"/>
          <w:lang w:bidi="en-US"/>
        </w:rPr>
        <w:t>安徽省招标集团股份有限公司</w:t>
      </w:r>
    </w:p>
    <w:p w14:paraId="0FBF77A2">
      <w:pPr>
        <w:snapToGrid w:val="0"/>
        <w:spacing w:line="360" w:lineRule="auto"/>
        <w:ind w:firstLine="660"/>
        <w:rPr>
          <w:rFonts w:hint="eastAsia" w:ascii="宋体" w:hAnsi="宋体" w:eastAsia="宋体" w:cs="宋体"/>
          <w:snapToGrid w:val="0"/>
          <w:color w:val="auto"/>
          <w:kern w:val="0"/>
          <w:sz w:val="24"/>
          <w:szCs w:val="21"/>
          <w:highlight w:val="none"/>
          <w:lang w:bidi="en-US"/>
        </w:rPr>
      </w:pPr>
    </w:p>
    <w:p w14:paraId="3A28CB63">
      <w:pPr>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若本单位成为本采购包成交供应商，本单位将严格按照采购人要求及采购文件约定，全面、规范开展运输服务工作，严格履行合同义务，如未按要求执行，自愿承担相应违约责任及一切法律后果。</w:t>
      </w:r>
    </w:p>
    <w:p w14:paraId="341FA6D7">
      <w:pPr>
        <w:snapToGrid w:val="0"/>
        <w:spacing w:line="360" w:lineRule="auto"/>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1.本单位承诺：针对本采购包联运线路，具备相应铁路运输资源，可满足项目铁路运力、时效及安全保障要求</w:t>
      </w:r>
      <w:r>
        <w:rPr>
          <w:rFonts w:hint="eastAsia" w:ascii="宋体" w:hAnsi="宋体" w:eastAsia="宋体" w:cs="宋体"/>
          <w:sz w:val="24"/>
          <w:szCs w:val="24"/>
          <w:highlight w:val="none"/>
          <w:lang w:eastAsia="zh-CN"/>
        </w:rPr>
        <w:t>。</w:t>
      </w:r>
    </w:p>
    <w:p w14:paraId="7D730399">
      <w:pPr>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2.本单位承诺：积极配合</w:t>
      </w:r>
      <w:r>
        <w:rPr>
          <w:rFonts w:hint="eastAsia" w:ascii="宋体" w:hAnsi="宋体" w:eastAsia="宋体" w:cs="宋体"/>
          <w:sz w:val="24"/>
          <w:szCs w:val="24"/>
          <w:highlight w:val="none"/>
          <w:lang w:val="en-US" w:eastAsia="zh-CN"/>
        </w:rPr>
        <w:t>采购人相关清关</w:t>
      </w:r>
      <w:r>
        <w:rPr>
          <w:rFonts w:hint="eastAsia" w:ascii="宋体" w:hAnsi="宋体" w:eastAsia="宋体" w:cs="宋体"/>
          <w:sz w:val="24"/>
          <w:szCs w:val="24"/>
          <w:highlight w:val="none"/>
        </w:rPr>
        <w:t>相关手续，确保手续合法合规、及时办结</w:t>
      </w:r>
      <w:r>
        <w:rPr>
          <w:rFonts w:hint="eastAsia" w:ascii="宋体" w:hAnsi="宋体" w:eastAsia="宋体" w:cs="宋体"/>
          <w:sz w:val="24"/>
          <w:szCs w:val="24"/>
          <w:highlight w:val="none"/>
          <w:lang w:eastAsia="zh-CN"/>
        </w:rPr>
        <w:t>。</w:t>
      </w:r>
    </w:p>
    <w:p w14:paraId="0DD9C388">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3.本单位承诺：具备请铁路集装箱+汽运短倒相关运输经验，能够安全、高效完成全程联运及短倒运输作业。</w:t>
      </w:r>
    </w:p>
    <w:p w14:paraId="378BF2CF">
      <w:pPr>
        <w:snapToGrid w:val="0"/>
        <w:spacing w:line="360" w:lineRule="auto"/>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本单位已充分知晓并理解本采购包全部要求，上述承诺内容真实、有效、无虚假，若存在隐瞒、伪造或不实情况，本单位自愿承担相应法律责任，并接受采购人依照相关规定作出的处理。</w:t>
      </w:r>
    </w:p>
    <w:p w14:paraId="5C44229C">
      <w:pPr>
        <w:snapToGrid w:val="0"/>
        <w:spacing w:line="360" w:lineRule="auto"/>
        <w:ind w:right="24" w:firstLine="480" w:firstLineChars="200"/>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供应商：</w:t>
      </w:r>
      <w:r>
        <w:rPr>
          <w:rFonts w:hint="eastAsia" w:ascii="宋体" w:hAnsi="宋体" w:eastAsia="宋体" w:cs="宋体"/>
          <w:snapToGrid w:val="0"/>
          <w:color w:val="auto"/>
          <w:sz w:val="24"/>
          <w:szCs w:val="21"/>
          <w:highlight w:val="none"/>
          <w:u w:val="single"/>
        </w:rPr>
        <w:t xml:space="preserve">                  （盖章）</w:t>
      </w:r>
    </w:p>
    <w:p w14:paraId="0559EB7D">
      <w:pPr>
        <w:snapToGrid w:val="0"/>
        <w:spacing w:line="360" w:lineRule="auto"/>
        <w:ind w:left="420" w:leftChars="200" w:firstLine="480" w:firstLineChars="200"/>
        <w:jc w:val="right"/>
        <w:rPr>
          <w:rFonts w:hint="eastAsia" w:ascii="宋体" w:hAnsi="宋体" w:eastAsia="宋体" w:cs="宋体"/>
          <w:snapToGrid w:val="0"/>
          <w:color w:val="auto"/>
          <w:kern w:val="0"/>
          <w:sz w:val="24"/>
          <w:szCs w:val="21"/>
          <w:highlight w:val="none"/>
        </w:rPr>
      </w:pP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年</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月</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日</w:t>
      </w:r>
    </w:p>
    <w:p w14:paraId="7CAFA72A">
      <w:pPr>
        <w:snapToGrid w:val="0"/>
        <w:spacing w:line="360" w:lineRule="auto"/>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snapToGrid w:val="0"/>
          <w:color w:val="auto"/>
          <w:kern w:val="0"/>
          <w:sz w:val="24"/>
          <w:szCs w:val="21"/>
          <w:highlight w:val="none"/>
          <w:lang w:val="en-US" w:eastAsia="zh-CN"/>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11：</w:t>
      </w:r>
    </w:p>
    <w:p w14:paraId="26D3E77B">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中粮粮谷面粉（采购包71-散粉）响应承诺函</w:t>
      </w:r>
    </w:p>
    <w:p w14:paraId="28EDF412">
      <w:pPr>
        <w:snapToGrid w:val="0"/>
        <w:spacing w:line="360" w:lineRule="auto"/>
        <w:rPr>
          <w:rFonts w:hint="eastAsia" w:ascii="宋体" w:hAnsi="宋体" w:eastAsia="宋体" w:cs="宋体"/>
          <w:color w:val="auto"/>
          <w:sz w:val="24"/>
          <w:szCs w:val="21"/>
          <w:highlight w:val="none"/>
          <w:u w:val="single"/>
          <w:lang w:bidi="en-US"/>
        </w:rPr>
      </w:pPr>
      <w:r>
        <w:rPr>
          <w:rFonts w:hint="eastAsia" w:ascii="宋体" w:hAnsi="宋体" w:eastAsia="宋体" w:cs="宋体"/>
          <w:snapToGrid w:val="0"/>
          <w:color w:val="auto"/>
          <w:kern w:val="0"/>
          <w:sz w:val="24"/>
          <w:szCs w:val="21"/>
          <w:highlight w:val="none"/>
          <w:lang w:bidi="en-US"/>
        </w:rPr>
        <w:t>致：</w:t>
      </w:r>
      <w:r>
        <w:rPr>
          <w:rFonts w:hint="eastAsia" w:ascii="宋体" w:hAnsi="宋体" w:eastAsia="宋体" w:cs="宋体"/>
          <w:color w:val="auto"/>
          <w:sz w:val="24"/>
          <w:highlight w:val="none"/>
          <w:u w:val="single"/>
        </w:rPr>
        <w:t>中粮集团有限公司</w:t>
      </w:r>
    </w:p>
    <w:p w14:paraId="32466DDA">
      <w:pPr>
        <w:snapToGrid w:val="0"/>
        <w:spacing w:line="360" w:lineRule="auto"/>
        <w:rPr>
          <w:rFonts w:hint="eastAsia" w:ascii="宋体" w:hAnsi="宋体" w:eastAsia="宋体" w:cs="宋体"/>
          <w:color w:val="auto"/>
          <w:sz w:val="24"/>
          <w:szCs w:val="21"/>
          <w:highlight w:val="none"/>
          <w:lang w:bidi="en-US"/>
        </w:rPr>
      </w:pPr>
      <w:r>
        <w:rPr>
          <w:rFonts w:hint="eastAsia" w:ascii="宋体" w:hAnsi="宋体" w:eastAsia="宋体" w:cs="宋体"/>
          <w:color w:val="auto"/>
          <w:sz w:val="24"/>
          <w:szCs w:val="21"/>
          <w:highlight w:val="none"/>
          <w:lang w:bidi="en-US"/>
        </w:rPr>
        <w:t xml:space="preserve">    </w:t>
      </w:r>
      <w:r>
        <w:rPr>
          <w:rFonts w:hint="eastAsia" w:ascii="宋体" w:hAnsi="宋体" w:eastAsia="宋体" w:cs="宋体"/>
          <w:color w:val="auto"/>
          <w:sz w:val="24"/>
          <w:szCs w:val="21"/>
          <w:highlight w:val="none"/>
          <w:u w:val="single"/>
          <w:lang w:bidi="en-US"/>
        </w:rPr>
        <w:t>安徽省招标集团股份有限公司</w:t>
      </w:r>
    </w:p>
    <w:p w14:paraId="13A81B79">
      <w:pPr>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若本单位成为本采购包成交供应商，本单位将严格按照采购人要求及采购文件约定，全面、规范开展运输服务工作，严格履行合同义务，如未按要求执行，自愿承担相应违约责任及一切法律后果。</w:t>
      </w:r>
    </w:p>
    <w:p w14:paraId="1EECA53F">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1.提供散粉运输的车辆为装载食品及食品原料的专用容器，不得使用非食品、非食品原料容器的运输工具，不得与非食品、非食品原料容器的其他运输工具混用、混装。</w:t>
      </w:r>
    </w:p>
    <w:p w14:paraId="11268E9F">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2.满足装车前入厂核查机制，罐体、罐内、罐盖、出粉口、打粉软管、空压机滤芯、车辆空吹均符合公司要求即可装车；</w:t>
      </w:r>
    </w:p>
    <w:p w14:paraId="58C09399">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3.定期安排散粉罐车清罐并提供清罐证明；</w:t>
      </w:r>
    </w:p>
    <w:p w14:paraId="4333B898">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4.成交后提供前三载证明，同时须确保运输车辆GPS单独做专项业务管理（并可支持查询三个月以内的行驶轨迹），承运方有管理和保密义务，若无合同签订的甲方授权，严禁向第三方泄露相关记录信息。</w:t>
      </w:r>
    </w:p>
    <w:p w14:paraId="1CF15C41">
      <w:pPr>
        <w:snapToGrid w:val="0"/>
        <w:spacing w:line="360" w:lineRule="auto"/>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本单位已充分知晓并理解</w:t>
      </w:r>
      <w:r>
        <w:rPr>
          <w:rFonts w:hint="eastAsia" w:ascii="宋体" w:hAnsi="宋体" w:eastAsia="宋体" w:cs="宋体"/>
          <w:sz w:val="24"/>
          <w:szCs w:val="24"/>
          <w:highlight w:val="none"/>
          <w:lang w:val="en-US" w:eastAsia="zh-CN"/>
        </w:rPr>
        <w:t>以上全部</w:t>
      </w:r>
      <w:r>
        <w:rPr>
          <w:rFonts w:hint="eastAsia" w:ascii="宋体" w:hAnsi="宋体" w:eastAsia="宋体" w:cs="宋体"/>
          <w:sz w:val="24"/>
          <w:szCs w:val="24"/>
          <w:highlight w:val="none"/>
        </w:rPr>
        <w:t>要求，上述承诺内容真实、有效、无虚假，若存在隐瞒、伪造或不实情况，本单位自愿承担相应法律责任，并接受采购人依照相关规定作出的处理。</w:t>
      </w:r>
    </w:p>
    <w:p w14:paraId="1F1118BD">
      <w:pPr>
        <w:snapToGrid w:val="0"/>
        <w:spacing w:line="360" w:lineRule="auto"/>
        <w:ind w:right="24" w:firstLine="480" w:firstLineChars="200"/>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供应商：</w:t>
      </w:r>
      <w:r>
        <w:rPr>
          <w:rFonts w:hint="eastAsia" w:ascii="宋体" w:hAnsi="宋体" w:eastAsia="宋体" w:cs="宋体"/>
          <w:snapToGrid w:val="0"/>
          <w:color w:val="auto"/>
          <w:sz w:val="24"/>
          <w:szCs w:val="21"/>
          <w:highlight w:val="none"/>
          <w:u w:val="single"/>
        </w:rPr>
        <w:t xml:space="preserve">                  （盖章）</w:t>
      </w:r>
    </w:p>
    <w:p w14:paraId="00665737">
      <w:pPr>
        <w:snapToGrid w:val="0"/>
        <w:spacing w:line="360" w:lineRule="auto"/>
        <w:ind w:left="420" w:leftChars="200" w:firstLine="480" w:firstLineChars="200"/>
        <w:jc w:val="right"/>
        <w:rPr>
          <w:rFonts w:hint="eastAsia" w:ascii="宋体" w:hAnsi="宋体" w:eastAsia="宋体" w:cs="宋体"/>
          <w:snapToGrid w:val="0"/>
          <w:color w:val="auto"/>
          <w:kern w:val="0"/>
          <w:sz w:val="24"/>
          <w:szCs w:val="21"/>
          <w:highlight w:val="none"/>
        </w:rPr>
      </w:pP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年</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月</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日</w:t>
      </w:r>
    </w:p>
    <w:p w14:paraId="31C32ED4">
      <w:pPr>
        <w:snapToGrid w:val="0"/>
        <w:spacing w:line="360" w:lineRule="auto"/>
        <w:ind w:left="0" w:leftChars="0" w:firstLine="0" w:firstLineChars="0"/>
        <w:jc w:val="both"/>
        <w:rPr>
          <w:rFonts w:hint="eastAsia" w:ascii="宋体" w:hAnsi="宋体" w:eastAsia="宋体" w:cs="宋体"/>
          <w:color w:val="auto"/>
          <w:sz w:val="32"/>
          <w:szCs w:val="32"/>
          <w:highlight w:val="none"/>
          <w:lang w:val="en-US" w:eastAsia="zh-CN"/>
        </w:rPr>
      </w:pPr>
    </w:p>
    <w:p w14:paraId="78F1EEEE">
      <w:pPr>
        <w:snapToGrid w:val="0"/>
        <w:spacing w:line="360" w:lineRule="auto"/>
        <w:rPr>
          <w:rFonts w:hint="eastAsia" w:ascii="宋体" w:hAnsi="宋体" w:eastAsia="宋体" w:cs="宋体"/>
          <w:snapToGrid w:val="0"/>
          <w:color w:val="auto"/>
          <w:kern w:val="0"/>
          <w:sz w:val="24"/>
          <w:highlight w:val="none"/>
          <w:lang w:val="en-US" w:eastAsia="zh-CN" w:bidi="en-US"/>
        </w:rPr>
      </w:pPr>
      <w:r>
        <w:rPr>
          <w:rFonts w:hint="eastAsia" w:ascii="宋体" w:hAnsi="宋体" w:eastAsia="宋体" w:cs="宋体"/>
          <w:b/>
          <w:bCs/>
          <w:color w:val="auto"/>
          <w:szCs w:val="21"/>
          <w:highlight w:val="none"/>
          <w:lang w:bidi="ar"/>
        </w:rPr>
        <w:br w:type="page"/>
      </w:r>
      <w:bookmarkStart w:id="19" w:name="_Toc31697"/>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12：</w:t>
      </w:r>
    </w:p>
    <w:p w14:paraId="1CD35485">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中粮生物科技供应商廉洁承诺书</w:t>
      </w:r>
    </w:p>
    <w:p w14:paraId="11703530">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中粮生物科技股份有限公司：</w:t>
      </w:r>
    </w:p>
    <w:p w14:paraId="7B004879">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为营造守法诚信、廉洁高效的工作环境，防止违规违纪行为的发生，我公司郑重承诺如下:</w:t>
      </w:r>
    </w:p>
    <w:p w14:paraId="01D2B8D0">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1.我公司不会以任何形式向贵司工作人员及其亲属、特定关系人(以下简称贵司相关人员)支付回扣、手续费等好处费。</w:t>
      </w:r>
    </w:p>
    <w:p w14:paraId="191D1254">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2.我公司不会以任何形式向贵司相关人员赠送礼品礼金、有价证券等，不会为其报销应由个人支付的各种费用，不会将钱、物借给贵司相关人员。</w:t>
      </w:r>
    </w:p>
    <w:p w14:paraId="6792AF8C">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3.我公司不会以考察、参观、洽谈业务、签订合同等借口，邀请贵司相关人员参加可能对合同履行有影响的宴请外出旅游和各种娱乐活动。</w:t>
      </w:r>
    </w:p>
    <w:p w14:paraId="7E747AFF">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4.我公司不会为贵司相关人员在其住房装修、婚丧嫁娶、亲属工作安排等方面提供各种方便。</w:t>
      </w:r>
    </w:p>
    <w:p w14:paraId="3396F250">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5.我公司不会为谋取不正当利益与贵司相关人员就合作关系的事项进行私下商谈或者达成利益默契。</w:t>
      </w:r>
    </w:p>
    <w:p w14:paraId="584AA9F2">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6. 我公司不会通过其他任何方式，为贵司相关人员谋取不正当利益。</w:t>
      </w:r>
    </w:p>
    <w:p w14:paraId="02E55568">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我司若发现贵司工作人员在业务活动中有违反贵司有关采购廉洁自律的行为，我司将予以拒绝并要求贵司工作人员予以纠正。对于无法拒绝或贵司工作人员不予纠正的，我司将及时向中粮生物科技纪委举报（举报电话：010-65047895）。若贵司纪委按照有关法律法规规定，向我司有关人员进行询问、调查，我司有关人员将予以协助，并如实及时提供相关线索、证据和资料。若我公司有关人员违反本《承诺书》，我司愿接受贵司责令整改、暂停或取消与中粮生物科技所有下属企业的业务往来、纳入“合作方黑名单”等方式，并接受国家监察机关或司法机关依纪依法做出的任何处理。</w:t>
      </w:r>
    </w:p>
    <w:p w14:paraId="052B5ABF">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特此承诺。</w:t>
      </w:r>
    </w:p>
    <w:bookmarkEnd w:id="19"/>
    <w:p w14:paraId="3D430EDC">
      <w:pPr>
        <w:wordWrap w:val="0"/>
        <w:snapToGrid w:val="0"/>
        <w:spacing w:line="360" w:lineRule="auto"/>
        <w:ind w:right="24" w:firstLine="442" w:firstLineChars="200"/>
        <w:jc w:val="right"/>
        <w:rPr>
          <w:rFonts w:hint="eastAsia" w:ascii="宋体" w:hAnsi="宋体" w:eastAsia="宋体" w:cs="宋体"/>
          <w:b/>
          <w:bCs/>
          <w:color w:val="auto"/>
          <w:sz w:val="22"/>
          <w:szCs w:val="20"/>
          <w:highlight w:val="none"/>
          <w:u w:val="single"/>
          <w:lang w:val="en-US" w:eastAsia="zh-CN"/>
        </w:rPr>
      </w:pPr>
      <w:r>
        <w:rPr>
          <w:rFonts w:hint="eastAsia" w:ascii="宋体" w:hAnsi="宋体" w:eastAsia="宋体" w:cs="宋体"/>
          <w:b/>
          <w:bCs/>
          <w:color w:val="auto"/>
          <w:sz w:val="22"/>
          <w:szCs w:val="20"/>
          <w:highlight w:val="none"/>
          <w:lang w:val="en-US" w:eastAsia="zh-CN"/>
        </w:rPr>
        <w:t>法定代表人签字或签章：</w:t>
      </w:r>
      <w:r>
        <w:rPr>
          <w:rFonts w:hint="eastAsia" w:ascii="宋体" w:hAnsi="宋体" w:eastAsia="宋体" w:cs="宋体"/>
          <w:b/>
          <w:bCs/>
          <w:color w:val="auto"/>
          <w:sz w:val="22"/>
          <w:szCs w:val="20"/>
          <w:highlight w:val="none"/>
          <w:u w:val="single"/>
          <w:lang w:val="en-US" w:eastAsia="zh-CN"/>
        </w:rPr>
        <w:t xml:space="preserve">                  </w:t>
      </w:r>
    </w:p>
    <w:p w14:paraId="44CA773C">
      <w:pPr>
        <w:snapToGrid w:val="0"/>
        <w:spacing w:line="360" w:lineRule="auto"/>
        <w:ind w:right="24" w:firstLine="440" w:firstLineChars="200"/>
        <w:jc w:val="right"/>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供应商：</w:t>
      </w:r>
      <w:r>
        <w:rPr>
          <w:rFonts w:hint="eastAsia" w:ascii="宋体" w:hAnsi="宋体" w:eastAsia="宋体" w:cs="宋体"/>
          <w:snapToGrid w:val="0"/>
          <w:color w:val="auto"/>
          <w:sz w:val="22"/>
          <w:szCs w:val="20"/>
          <w:highlight w:val="none"/>
          <w:u w:val="single"/>
        </w:rPr>
        <w:t xml:space="preserve">                  （盖章）</w:t>
      </w:r>
    </w:p>
    <w:p w14:paraId="58163153">
      <w:pPr>
        <w:snapToGrid w:val="0"/>
        <w:spacing w:line="360" w:lineRule="auto"/>
        <w:ind w:left="420" w:leftChars="200" w:firstLine="440" w:firstLineChars="200"/>
        <w:jc w:val="right"/>
        <w:rPr>
          <w:rFonts w:hint="eastAsia" w:ascii="宋体" w:hAnsi="宋体" w:eastAsia="宋体" w:cs="宋体"/>
          <w:highlight w:val="none"/>
        </w:rPr>
      </w:pP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年</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月</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日</w:t>
      </w:r>
    </w:p>
    <w:p w14:paraId="32369F9F">
      <w:pPr>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highlight w:val="none"/>
        </w:rPr>
        <w:br w:type="page"/>
      </w:r>
      <w:r>
        <w:rPr>
          <w:rFonts w:hint="eastAsia" w:ascii="宋体" w:hAnsi="宋体" w:eastAsia="宋体" w:cs="宋体"/>
          <w:b/>
          <w:snapToGrid w:val="0"/>
          <w:color w:val="auto"/>
          <w:sz w:val="28"/>
          <w:szCs w:val="20"/>
          <w:highlight w:val="none"/>
          <w:lang w:val="en-US" w:eastAsia="zh-CN" w:bidi="en-US"/>
        </w:rPr>
        <w:t>中粮生物科技安全运输管理协议</w:t>
      </w:r>
    </w:p>
    <w:p w14:paraId="4EE40175">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根据《中华人民共和国道路交通安全法》等要求和双方已达成的《仓储运输服务代理合同》，为了明确双方的安全责任和义务，加强灌装、运输和接卸等过程的安全管理，经双方协商达成如下协议：</w:t>
      </w:r>
    </w:p>
    <w:p w14:paraId="6145069D">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一、甲方的权利、义务和责任</w:t>
      </w:r>
    </w:p>
    <w:p w14:paraId="6EEB632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（一）甲方有义务向乙方负责人或安全责任人宣传本公司的安全、消防方面的有关规定，由乙方负责人再向本单位工作人员做全面的安全教育和安全培训，确保安全运输作业不发生货物和人身伤亡事故。</w:t>
      </w:r>
    </w:p>
    <w:p w14:paraId="1E037BA2">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二）甲方有权对乙方的运输作业进行监督管理，对“三违”的人和事进行纠正、教育，按照甲方公司规定以及法律法规的要求追究相应责任，情节严重的给予取消运输资格或将当事人清除出运输工作，并全额承担由此给甲方造成的损失。</w:t>
      </w:r>
    </w:p>
    <w:p w14:paraId="301D9FF9">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（三）乙方在运输作业中，违反安全操作规程或乙方自身的责任造成人员伤亡或财产损失的，甲方不承担任何责任。</w:t>
      </w:r>
    </w:p>
    <w:p w14:paraId="091114E7">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二、乙方的权利、义务和责任</w:t>
      </w:r>
    </w:p>
    <w:p w14:paraId="58799539">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（一）乙方有义务严格按照国家《道路交通安全法》和地方法规、法律以及遵守甲方和甲方客户的安全、消防、流程规定实施运输作业。</w:t>
      </w:r>
    </w:p>
    <w:p w14:paraId="249111F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（二）乙方有义务向甲方提供营业执照、运输经营许可证、法人代表证明、运输驾驶人员有效的作业资格证书等相关材料，并对其真实性负责。</w:t>
      </w:r>
    </w:p>
    <w:p w14:paraId="783637A2">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（三）乙方有义务与从业人员签订劳动合同，应载明保障从业人员劳动安全、防止职业危害的事项，以及依法为从业人员办理工伤保险的事项；运输车辆做好维护，以及依法办理的保险。</w:t>
      </w:r>
    </w:p>
    <w:p w14:paraId="5DD9F1CA">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(四)乙方保证有完善的运输安全体系和健全的安全消防制度，从技术力量、设施、器材以及职业安全卫生防护用品上能满足从事运输作业需要，有运输应急预案。</w:t>
      </w:r>
    </w:p>
    <w:p w14:paraId="1F8C0DBA">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（五）接受甲方安全检查人员的监督检查，对查出的隐患和违章行为，必须按要求的期限纠正、整改；对拒不纠正和整改的，甲方根据隐患性质的大小给予处罚，并承担由此给甲方造成的一切损失。</w:t>
      </w:r>
    </w:p>
    <w:p w14:paraId="538C74C7">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（六）乙方在运输作业过程中，遵守甲方及甲方客户规定，接受其监督和管理。违反安全操作规程给甲方及甲方客户造成的人员伤亡和财产损失，乙方应承担全额赔偿责任。</w:t>
      </w:r>
    </w:p>
    <w:p w14:paraId="5F244983">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（七）乙方在运输作业过程中，反馈货物送达情况及安全运输情况；违反安全操作规程给乙方造成的人员伤亡和财产损失，由乙方自行承担。</w:t>
      </w:r>
    </w:p>
    <w:p w14:paraId="4FBDC4AB">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（八）乙方有权拒绝违章指挥。</w:t>
      </w:r>
    </w:p>
    <w:p w14:paraId="522BCDA0">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（九）乙方保证运输车辆及作业人员在执行运输计划前已做了安全检查，保证车辆及作业人员符合运输安全要求。</w:t>
      </w:r>
    </w:p>
    <w:p w14:paraId="30DDE092">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三、未尽事宜，双方协商解决，协商不成，可依法向原告方所在地人民法院起诉。</w:t>
      </w:r>
    </w:p>
    <w:p w14:paraId="6A54DB3C">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四、本协议与其依附的合同具有同等法律效力，一式两份，双方各执一份。本合同经双方盖章后生效，协议有效期为2026年5月1日至2027年 4月30日。</w:t>
      </w:r>
    </w:p>
    <w:p w14:paraId="788DD941">
      <w:pPr>
        <w:pStyle w:val="5"/>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本公司（单位）郑重声明，若我单位成为本次采购项目的成交供应商，将严格按照《中粮生物科技安全运输管理协议》中所有条款及要求，全面、合规、如实地执行各项运输服务，确保运输流程安全、规范，完全符合协议约定标准。若存在任何虚假承诺行为，我单位自愿依法承担由此产生的全部法律责任、经济赔偿责任及其他相关一切责任，接受相应处罚。</w:t>
      </w:r>
    </w:p>
    <w:p w14:paraId="0BCD8CB2">
      <w:pPr>
        <w:snapToGrid w:val="0"/>
        <w:spacing w:line="360" w:lineRule="auto"/>
        <w:ind w:right="24" w:firstLine="440" w:firstLineChars="200"/>
        <w:jc w:val="right"/>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供应商：</w:t>
      </w:r>
      <w:r>
        <w:rPr>
          <w:rFonts w:hint="eastAsia" w:ascii="宋体" w:hAnsi="宋体" w:eastAsia="宋体" w:cs="宋体"/>
          <w:snapToGrid w:val="0"/>
          <w:color w:val="auto"/>
          <w:sz w:val="22"/>
          <w:szCs w:val="20"/>
          <w:highlight w:val="none"/>
          <w:u w:val="single"/>
        </w:rPr>
        <w:t xml:space="preserve">                  （盖章）</w:t>
      </w:r>
    </w:p>
    <w:p w14:paraId="0AA16405">
      <w:pPr>
        <w:snapToGrid w:val="0"/>
        <w:spacing w:line="360" w:lineRule="auto"/>
        <w:ind w:left="420" w:leftChars="200" w:firstLine="440" w:firstLineChars="200"/>
        <w:jc w:val="right"/>
        <w:rPr>
          <w:rFonts w:hint="eastAsia" w:ascii="宋体" w:hAnsi="宋体" w:eastAsia="宋体" w:cs="宋体"/>
          <w:snapToGrid w:val="0"/>
          <w:color w:val="auto"/>
          <w:kern w:val="0"/>
          <w:sz w:val="22"/>
          <w:szCs w:val="20"/>
          <w:highlight w:val="none"/>
        </w:rPr>
      </w:pP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年</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月</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日</w:t>
      </w:r>
    </w:p>
    <w:p w14:paraId="54DD0093">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中粮生物科技物流服务供应商禁止行为其他管理要求</w:t>
      </w:r>
    </w:p>
    <w:tbl>
      <w:tblPr>
        <w:tblStyle w:val="7"/>
        <w:tblW w:w="529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10"/>
        <w:gridCol w:w="8307"/>
      </w:tblGrid>
      <w:tr w14:paraId="731BC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5"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4F1530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序号</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754659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物流服务供应商禁止行为其他管理要求</w:t>
            </w:r>
          </w:p>
        </w:tc>
      </w:tr>
      <w:tr w14:paraId="4EB35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6F9B7B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406D7A0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物流服务供应商有义务指导和规范其雇佣或委托的单位和人员的行为，任何违反公司管理规范和要求的行为，包括但不限于《物流服务供应商禁止行为清单》中列举事项，不论是物流服务供应商自己造成的还是物流服务供应商雇佣或委托的单位或人员造成的，均由物流服务供应商承担事故的全部责任并扣除履约保证金，如给第三人造成人身损害或经济损失的，由物流服务供应商全部责任，如给中粮生物科技下属工厂及客户工厂造成经济损失或声誉损害的，由物流服务供应商负责经济赔偿及消除损害。</w:t>
            </w:r>
          </w:p>
        </w:tc>
      </w:tr>
      <w:tr w14:paraId="2E292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79C3E8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32209DA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在中粮生物科技下属工厂及客户工厂物流服务供应商违反了《物流服务供应商禁止行为清单》</w:t>
            </w:r>
            <w:r>
              <w:rPr>
                <w:rFonts w:hint="eastAsia" w:ascii="宋体" w:hAnsi="宋体" w:eastAsia="宋体" w:cs="宋体"/>
                <w:i w:val="0"/>
                <w:iCs w:val="0"/>
                <w:color w:val="000000"/>
                <w:kern w:val="0"/>
                <w:sz w:val="20"/>
                <w:szCs w:val="20"/>
                <w:highlight w:val="none"/>
                <w:u w:val="none"/>
                <w:lang w:val="en-US" w:eastAsia="en-US" w:bidi="ar"/>
              </w:rPr>
              <w:t>中列举事项</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en-US" w:bidi="ar"/>
              </w:rPr>
              <w:t>违约金、赔偿金等款项</w:t>
            </w:r>
            <w:r>
              <w:rPr>
                <w:rFonts w:hint="eastAsia" w:ascii="宋体" w:hAnsi="宋体" w:eastAsia="宋体" w:cs="宋体"/>
                <w:i w:val="0"/>
                <w:iCs w:val="0"/>
                <w:color w:val="000000"/>
                <w:kern w:val="0"/>
                <w:sz w:val="20"/>
                <w:szCs w:val="20"/>
                <w:highlight w:val="none"/>
                <w:u w:val="none"/>
                <w:lang w:val="en-US" w:eastAsia="zh-CN" w:bidi="ar"/>
              </w:rPr>
              <w:t>超过了履约保证金金额的，物流服务供应商</w:t>
            </w:r>
            <w:r>
              <w:rPr>
                <w:rFonts w:hint="eastAsia" w:ascii="宋体" w:hAnsi="宋体" w:eastAsia="宋体" w:cs="宋体"/>
                <w:i w:val="0"/>
                <w:iCs w:val="0"/>
                <w:color w:val="000000"/>
                <w:kern w:val="0"/>
                <w:sz w:val="20"/>
                <w:szCs w:val="20"/>
                <w:highlight w:val="none"/>
                <w:u w:val="none"/>
                <w:lang w:val="en-US" w:eastAsia="en-US" w:bidi="ar"/>
              </w:rPr>
              <w:t>同意</w:t>
            </w:r>
            <w:r>
              <w:rPr>
                <w:rFonts w:hint="eastAsia" w:ascii="宋体" w:hAnsi="宋体" w:eastAsia="宋体" w:cs="宋体"/>
                <w:i w:val="0"/>
                <w:iCs w:val="0"/>
                <w:color w:val="000000"/>
                <w:kern w:val="0"/>
                <w:sz w:val="20"/>
                <w:szCs w:val="20"/>
                <w:highlight w:val="none"/>
                <w:u w:val="none"/>
                <w:lang w:val="en-US" w:eastAsia="zh-CN" w:bidi="ar"/>
              </w:rPr>
              <w:t>甲方</w:t>
            </w:r>
            <w:r>
              <w:rPr>
                <w:rFonts w:hint="eastAsia" w:ascii="宋体" w:hAnsi="宋体" w:eastAsia="宋体" w:cs="宋体"/>
                <w:i w:val="0"/>
                <w:iCs w:val="0"/>
                <w:color w:val="000000"/>
                <w:kern w:val="0"/>
                <w:sz w:val="20"/>
                <w:szCs w:val="20"/>
                <w:highlight w:val="none"/>
                <w:u w:val="none"/>
                <w:lang w:val="en-US" w:eastAsia="en-US" w:bidi="ar"/>
              </w:rPr>
              <w:t>可直接从</w:t>
            </w:r>
            <w:r>
              <w:rPr>
                <w:rFonts w:hint="eastAsia" w:ascii="宋体" w:hAnsi="宋体" w:eastAsia="宋体" w:cs="宋体"/>
                <w:i w:val="0"/>
                <w:iCs w:val="0"/>
                <w:color w:val="000000"/>
                <w:kern w:val="0"/>
                <w:sz w:val="20"/>
                <w:szCs w:val="20"/>
                <w:highlight w:val="none"/>
                <w:u w:val="none"/>
                <w:lang w:val="en-US" w:eastAsia="zh-CN" w:bidi="ar"/>
              </w:rPr>
              <w:t>物流服务供应商运费</w:t>
            </w:r>
            <w:r>
              <w:rPr>
                <w:rFonts w:hint="eastAsia" w:ascii="宋体" w:hAnsi="宋体" w:eastAsia="宋体" w:cs="宋体"/>
                <w:i w:val="0"/>
                <w:iCs w:val="0"/>
                <w:color w:val="000000"/>
                <w:kern w:val="0"/>
                <w:sz w:val="20"/>
                <w:szCs w:val="20"/>
                <w:highlight w:val="none"/>
                <w:u w:val="none"/>
                <w:lang w:val="en-US" w:eastAsia="en-US" w:bidi="ar"/>
              </w:rPr>
              <w:t>中扣除</w:t>
            </w:r>
            <w:r>
              <w:rPr>
                <w:rFonts w:hint="eastAsia" w:ascii="宋体" w:hAnsi="宋体" w:eastAsia="宋体" w:cs="宋体"/>
                <w:i w:val="0"/>
                <w:iCs w:val="0"/>
                <w:color w:val="000000"/>
                <w:kern w:val="0"/>
                <w:sz w:val="20"/>
                <w:szCs w:val="20"/>
                <w:highlight w:val="none"/>
                <w:u w:val="none"/>
                <w:lang w:val="en-US" w:eastAsia="zh-CN" w:bidi="ar"/>
              </w:rPr>
              <w:t>，如运费额度不足扣除款项，需按时缴纳剩余差额款项</w:t>
            </w:r>
            <w:r>
              <w:rPr>
                <w:rFonts w:hint="eastAsia" w:ascii="宋体" w:hAnsi="宋体" w:eastAsia="宋体" w:cs="宋体"/>
                <w:i w:val="0"/>
                <w:iCs w:val="0"/>
                <w:color w:val="000000"/>
                <w:kern w:val="0"/>
                <w:sz w:val="20"/>
                <w:szCs w:val="20"/>
                <w:highlight w:val="none"/>
                <w:u w:val="none"/>
                <w:lang w:val="en-US" w:eastAsia="en-US" w:bidi="ar"/>
              </w:rPr>
              <w:t>。</w:t>
            </w:r>
            <w:r>
              <w:rPr>
                <w:rFonts w:hint="eastAsia" w:ascii="宋体" w:hAnsi="宋体" w:eastAsia="宋体" w:cs="宋体"/>
                <w:i w:val="0"/>
                <w:iCs w:val="0"/>
                <w:color w:val="000000"/>
                <w:kern w:val="0"/>
                <w:sz w:val="20"/>
                <w:szCs w:val="20"/>
                <w:highlight w:val="none"/>
                <w:u w:val="none"/>
                <w:lang w:val="en-US" w:eastAsia="zh-CN" w:bidi="ar"/>
              </w:rPr>
              <w:t>如物流服务供应商不同意在运费中扣除，超出履约保证金金额部分，需按规定时间内缴纳。</w:t>
            </w:r>
          </w:p>
        </w:tc>
      </w:tr>
      <w:tr w14:paraId="536C6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6AE534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5FC5461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在中粮生物科技下属工厂及客户工厂现场出现无法准确判定责任归属的违规事件，由物流服务供应商承担50%责任。</w:t>
            </w:r>
          </w:p>
        </w:tc>
      </w:tr>
      <w:tr w14:paraId="1C533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7DE38C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2AE2597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在中粮生物科技下属工厂及客户工厂出现《物流服务供应商禁止行为清单》中列举事项及之外的任何违规事件，物流服务供应商必须提供书面的整改计划并监督整改。</w:t>
            </w:r>
          </w:p>
        </w:tc>
      </w:tr>
      <w:tr w14:paraId="1590D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25CA9B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407C3E8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在中粮生物科技下属工厂及客户工厂物流服务供应商及其雇佣或委托的单位或人员在一个月内发生第二次安全违规行为，禁止该员三天内入厂，再次入厂时需提供该员安全教育记录。</w:t>
            </w:r>
          </w:p>
        </w:tc>
      </w:tr>
      <w:tr w14:paraId="5D138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289" w:type="pct"/>
            <w:tcBorders>
              <w:top w:val="single" w:color="auto" w:sz="8" w:space="0"/>
              <w:left w:val="single" w:color="auto" w:sz="8" w:space="0"/>
              <w:bottom w:val="single" w:color="auto" w:sz="8" w:space="0"/>
              <w:right w:val="single" w:color="auto" w:sz="8" w:space="0"/>
            </w:tcBorders>
            <w:noWrap w:val="0"/>
            <w:vAlign w:val="center"/>
          </w:tcPr>
          <w:p w14:paraId="083136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6</w:t>
            </w:r>
          </w:p>
        </w:tc>
        <w:tc>
          <w:tcPr>
            <w:tcW w:w="4710" w:type="pct"/>
            <w:tcBorders>
              <w:top w:val="single" w:color="auto" w:sz="8" w:space="0"/>
              <w:left w:val="single" w:color="auto" w:sz="8" w:space="0"/>
              <w:bottom w:val="single" w:color="auto" w:sz="8" w:space="0"/>
              <w:right w:val="single" w:color="auto" w:sz="8" w:space="0"/>
            </w:tcBorders>
            <w:noWrap w:val="0"/>
            <w:vAlign w:val="center"/>
          </w:tcPr>
          <w:p w14:paraId="31FF67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在中粮生物科技下属工厂及客户工厂物流服务供应商及其雇佣或委托的单位或人员在一个月内发生第三次安全违规行为，立即驱离出厂，列入黑名单，永久不得入厂。</w:t>
            </w:r>
          </w:p>
        </w:tc>
      </w:tr>
    </w:tbl>
    <w:p w14:paraId="4CCB4699">
      <w:pPr>
        <w:jc w:val="left"/>
        <w:rPr>
          <w:rFonts w:hint="eastAsia" w:ascii="宋体" w:hAnsi="宋体" w:eastAsia="宋体" w:cs="宋体"/>
          <w:b/>
          <w:bCs w:val="0"/>
          <w:szCs w:val="32"/>
          <w:highlight w:val="none"/>
          <w:lang w:val="en-US" w:eastAsia="zh-CN"/>
        </w:rPr>
      </w:pPr>
    </w:p>
    <w:p w14:paraId="6E01006F">
      <w:pPr>
        <w:jc w:val="left"/>
        <w:rPr>
          <w:rFonts w:hint="eastAsia" w:ascii="宋体" w:hAnsi="宋体" w:eastAsia="宋体" w:cs="宋体"/>
          <w:b/>
          <w:bCs w:val="0"/>
          <w:szCs w:val="32"/>
          <w:highlight w:val="none"/>
          <w:lang w:val="en-US" w:eastAsia="zh-CN"/>
        </w:rPr>
      </w:pPr>
      <w:r>
        <w:rPr>
          <w:rFonts w:hint="eastAsia" w:ascii="宋体" w:hAnsi="宋体" w:eastAsia="宋体" w:cs="宋体"/>
          <w:b/>
          <w:bCs w:val="0"/>
          <w:szCs w:val="32"/>
          <w:highlight w:val="none"/>
          <w:lang w:val="en-US" w:eastAsia="zh-CN"/>
        </w:rPr>
        <w:t>附件：中粮生物科技物流服务供应商禁止行为清单</w:t>
      </w:r>
    </w:p>
    <w:tbl>
      <w:tblPr>
        <w:tblStyle w:val="3"/>
        <w:tblW w:w="5164" w:type="pct"/>
        <w:tblInd w:w="1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6"/>
        <w:gridCol w:w="6430"/>
        <w:gridCol w:w="1886"/>
      </w:tblGrid>
      <w:tr w14:paraId="07D4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276"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2DDEDD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365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27719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物流服务供应商禁止行为</w:t>
            </w:r>
          </w:p>
        </w:tc>
        <w:tc>
          <w:tcPr>
            <w:tcW w:w="107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762B8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扣除履约保证金标准</w:t>
            </w:r>
          </w:p>
        </w:tc>
      </w:tr>
      <w:tr w14:paraId="780DA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9426F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3A8BB65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在中粮生物科技下属工厂及客户工厂违规停车，占用、堵塞、封闭消防车通道、疏散通道、安全出口；超速行车或鸣笛；未按要求放置防滑块、阻车器或其他阻车设施；未放置路阻；人员不按道路标线行走</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2628D8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1C9B4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60501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0CEA0C9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在中粮生物科技下属工厂、外租库及客户工厂非吸烟区吸烟、吸食其它类似东西</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128E8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4642C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70325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67EDFFA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在中粮生物科技下属工厂、外租库及客户工厂，发现酒驾、饮用含有酒精的饮品或服用违禁药品的行为</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2912C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5000 元/人/次</w:t>
            </w:r>
          </w:p>
        </w:tc>
      </w:tr>
      <w:tr w14:paraId="17A57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2F0272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4</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53A1C1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规范佩戴劳动保护及安全标识(包括但不限于：未穿反光背心或带反光条的工作装、安全帽、安全带、安全鞋、护目镜、赤膊工作等）进入相应区域，登高作业未按要使用戴安全帽、安全带、速差器、生命线等安全防护设备或设施</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A7433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1000元/人/次</w:t>
            </w:r>
          </w:p>
        </w:tc>
      </w:tr>
      <w:tr w14:paraId="15E64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6"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64CB84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6BF743A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在中粮生物科技下属工厂及客户工厂未经许可，擅自使用工厂工具、设备、设施、特种设备（包括但不限于生产设备、机动车辆、电梯、锅炉、变配电、空压机、叉车、计算机、消防设施等）</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5235E4E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5000元/次</w:t>
            </w:r>
          </w:p>
        </w:tc>
      </w:tr>
      <w:tr w14:paraId="4E7B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28EAB0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6</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6D4877F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在中粮生物科技下属工厂及客户工厂未按要求办理入厂申请、未经批准，携带非法物品或危险品进入工厂，产生安全隐患的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09A53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38D2E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D1063E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56553F2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未经许可擅自进入限制区域（包括但不限于仓库、生产区域），产生安全隐患的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22ACA3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13ECF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6"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3EB7C5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8</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5C8D522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在中粮生物科技下属工厂及客户工厂非紧急情况或未经允许，私自故意移动、损坏、规避、挪用、停用或使用消防设施或消防器材、安全环保系统、安全保护设施、其他设施、设备、应急物资等</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2A85B4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1000元/次</w:t>
            </w:r>
          </w:p>
        </w:tc>
      </w:tr>
      <w:tr w14:paraId="5C272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7E782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351A070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在中粮生物科技下属工厂及客户工厂无故不参加工厂规定的安全培训或安全工作例会的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2E4F4C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200元/人/次</w:t>
            </w:r>
          </w:p>
        </w:tc>
      </w:tr>
      <w:tr w14:paraId="5027F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389677F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25408D1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未按中粮生物科技下属工厂及客户工厂管理规定要求提供安全培训记录、安全检查记录；提供虚假的安全培训记录、安全检查记录的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C0A63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56655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22783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11</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77E71AA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在中粮生物科技下属工厂及客户工厂未按照工厂规定，违规操作，未按照危险作业管理程序,违反危险作业管理要求或危险作业执行落实不到位，未造成危害的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84ABE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500元/次</w:t>
            </w:r>
          </w:p>
        </w:tc>
      </w:tr>
      <w:tr w14:paraId="7B4BF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44FF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12</w:t>
            </w:r>
          </w:p>
        </w:tc>
        <w:tc>
          <w:tcPr>
            <w:tcW w:w="365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6B34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在中粮生物科技下属工厂及客户工厂未按照工厂规定，违规操作，未按照危险作业管理程序,违反危险作业管理要求或危险作业执行落实不到位，造成轻伤事故的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970B39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1000元/次</w:t>
            </w:r>
          </w:p>
        </w:tc>
      </w:tr>
      <w:tr w14:paraId="7738A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6AB8D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13</w:t>
            </w:r>
          </w:p>
        </w:tc>
        <w:tc>
          <w:tcPr>
            <w:tcW w:w="365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21A0D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在中粮生物科技下属工厂及客户工厂未按照工厂规定，违规操作，未按照危险作业管理程序,违反危险作业管理要求或危险作业执行落实不到位，造成重伤事故的</w:t>
            </w:r>
          </w:p>
        </w:tc>
        <w:tc>
          <w:tcPr>
            <w:tcW w:w="107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2F153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根据实际情况决定扣除额度，触犯法律的执行法律程序</w:t>
            </w:r>
          </w:p>
        </w:tc>
      </w:tr>
      <w:tr w14:paraId="1A868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13BAFD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14</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0A664F1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在中粮生物科技下属工厂及客户工厂未按照工厂规定，违规操作，未按照危险作业管理程序,违反危险作业管理要求或危险作业执行落实不到位，造成了企业财产损失在人民币5000元（含）以下的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CBF78A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64BD9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56D2E2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15</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2852C80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在中粮生物科技下属工厂及客户工厂未按照工厂规定，违规操作，未按照危险作业管理程序,违反危险作业管理要求或危险作业执行落实不到位，造成企业财产损失金额10000元（含）以下</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5EB0EB4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6D3FA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25DB8D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16</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1A6C072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在中粮生物科技下属工厂及客户工厂未按照工厂规定，违规操作，未按照危险作业管理程序,违反危险作业管理要求或危险作业执行落实不到位，造成了企业财产损失金额10000元-20000元（含）</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51E1B9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2246A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57857C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17</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431851B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在中粮生物科技下属工厂及客户工厂未按照工厂规定，违规操作，未按照危险作业管理程序,违反危险作业管理要求或危险作业执行落实不到位，造成了企业财产损失（20000元以上）</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283BF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522A6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86985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18</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75C7F64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在中粮生物科技下属工厂及客户工厂未按照工厂规定，违规操作，将导电线直接插入插座中使用/非专业电工私自接线或开启电控柜</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1085F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1E07B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0C878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19</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7C756AC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在中粮生物科技下属工厂及客户工厂未按照工厂规定，未及时清扫现场油污/废料/垃圾，不在规定地点倾倒的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F8B88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200元/次</w:t>
            </w:r>
          </w:p>
        </w:tc>
      </w:tr>
      <w:tr w14:paraId="73CA2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30550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41CC173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在中粮生物科技下属工厂及客户工厂未按照工厂规定，在现场作业时为违章操作，拒绝安全管理人员、保安人员及其他管理人员的合理检查，不听劝阻或出言不逊，态度恶劣，不服从管理者纠正的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FA079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2000元/人/次</w:t>
            </w:r>
          </w:p>
        </w:tc>
      </w:tr>
      <w:tr w14:paraId="4A074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4CD5F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1DC0931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在中粮生物科技下属工厂及客户工厂未按照工厂规定，未经相关部门许可，在工作场所接电/水/气源的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2A502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085D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3C629D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22</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3B55596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在中粮生物科技下属工厂及客户工厂违反工厂安全管理规定，不使用符合安全要求的各种起吊设备/工具/吊索具的，在起吊重物时在警戒线内逗留、行走或从事其他工作的。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EFF5C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5000元/次</w:t>
            </w:r>
          </w:p>
        </w:tc>
      </w:tr>
      <w:tr w14:paraId="1E560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F277C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23</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11EDFAC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在中粮生物科技下属工厂及客户工厂违反工厂安全管理规定，擅自拆除设备上的安全照明/报警信号/防护装置的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D99BF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5000元/台</w:t>
            </w:r>
          </w:p>
        </w:tc>
      </w:tr>
      <w:tr w14:paraId="3655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6C911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24</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4D35AB0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在中粮生物科技下属工厂及客户工厂未按照工厂规定，破坏、伪造事故现场，影响事故调查的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2BBD4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50000元/次</w:t>
            </w:r>
          </w:p>
        </w:tc>
      </w:tr>
      <w:tr w14:paraId="2A2C7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532B58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4369605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在中粮生物科技下属工厂及客户工厂，无视已发现的安全隐患，不整改或整改不及时/不彻底</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C7C99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68E46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1BFC1C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26</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5AAEAAC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在中粮生物科技下属工厂及客户工厂违反工厂安全管理规定，触犯其他红线行为</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ACC38D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7F3B2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6544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27</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4A297AD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在中粮生物科技下属工厂及客户工厂在工作场所打闹、嬉戏、奔跑</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C9CFEC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732CB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9F331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28</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6AA13EC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在中粮生物科技下属工厂及客户工厂在公司厂区内随地吐痰、乱扔垃圾（车内）等有损公共卫生之事</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5C87B9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200元/人/次</w:t>
            </w:r>
          </w:p>
        </w:tc>
      </w:tr>
      <w:tr w14:paraId="3D17C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736616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29</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5BB8C3E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在中粮生物科技下属工厂及客户工厂未经允许私自拿走工厂的可回收废弃物（包括但不限于废旧包装物、纸板等）、产品及其他财物等</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829B5A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5A86C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6C8FE4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30</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580E947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在中粮生物科技下属工厂及客户工厂在工厂厂区内寻衅滋事、打架</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07A69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3998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E78156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31</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7FABD6A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不按装车排序指令装车、不按调整装车顺序指令装车、加塞、站位、不服从工厂指挥</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688A9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500元/车/次</w:t>
            </w:r>
          </w:p>
        </w:tc>
      </w:tr>
      <w:tr w14:paraId="7DFE4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5ACCE6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32</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2E3F6F5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物流服务供应商内部因管理不善造成司机罢工，影响工厂发货超过24小时</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70FC7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2000元/车/次</w:t>
            </w:r>
          </w:p>
          <w:p w14:paraId="3CC113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根据影响程度追加扣除</w:t>
            </w:r>
          </w:p>
        </w:tc>
      </w:tr>
      <w:tr w14:paraId="5C403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2709D3E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21E352D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运输非食品的槽罐车不允许运输淀粉糖浆、不允许运输玉米油，前三载证明、清洁证书必须真实，违反此规定，在工厂灌装前验罐发现的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601BB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拒绝灌装并扣除</w:t>
            </w:r>
          </w:p>
          <w:p w14:paraId="4E2D5E2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10000元/车/次</w:t>
            </w:r>
          </w:p>
        </w:tc>
      </w:tr>
      <w:tr w14:paraId="40BED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34F0CF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34</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605B559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运输非食品的槽罐车不允许运输淀粉糖浆、不允许运输玉米油，前三载证明、清洁证书必须真实，违反此规定，在客户工厂发现的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23E66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结合客户工厂处置情况决定扣除标准</w:t>
            </w:r>
          </w:p>
        </w:tc>
      </w:tr>
      <w:tr w14:paraId="2779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58E9E6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78DC4A9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运输非食品的槽罐车不允许运输淀粉糖浆、不允许运输玉米油，前三载证明、清洁证书必须真实，违反此规定被媒体曝光的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55D82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根据给中粮生物科技造成的实际损失及声誉损害程度决定扣除标准，触犯法律的执行法律程序</w:t>
            </w:r>
          </w:p>
        </w:tc>
      </w:tr>
      <w:tr w14:paraId="3C735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44843C2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320AD97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运输淀粉糖浆、运输玉米油，在客户工厂发现槽罐铅封损坏、丢失或更换，空罐返回工厂发现铅封损坏、丢失或更换的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902A20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10000元/车/次并结合客户工厂处置结果决定应承担的责任</w:t>
            </w:r>
          </w:p>
        </w:tc>
      </w:tr>
      <w:tr w14:paraId="0F979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6" w:type="pct"/>
            <w:tcBorders>
              <w:top w:val="single" w:color="000000" w:sz="8" w:space="0"/>
              <w:left w:val="single" w:color="000000" w:sz="8" w:space="0"/>
              <w:bottom w:val="single" w:color="000000" w:sz="8" w:space="0"/>
              <w:right w:val="single" w:color="000000" w:sz="8" w:space="0"/>
            </w:tcBorders>
            <w:noWrap w:val="0"/>
            <w:vAlign w:val="center"/>
          </w:tcPr>
          <w:p w14:paraId="098A2CF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37</w:t>
            </w:r>
          </w:p>
        </w:tc>
        <w:tc>
          <w:tcPr>
            <w:tcW w:w="3651" w:type="pct"/>
            <w:tcBorders>
              <w:top w:val="single" w:color="000000" w:sz="8" w:space="0"/>
              <w:left w:val="single" w:color="000000" w:sz="8" w:space="0"/>
              <w:bottom w:val="single" w:color="000000" w:sz="8" w:space="0"/>
              <w:right w:val="single" w:color="000000" w:sz="8" w:space="0"/>
            </w:tcBorders>
            <w:noWrap w:val="0"/>
            <w:vAlign w:val="center"/>
          </w:tcPr>
          <w:p w14:paraId="475D701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未经我司允许随意变更送货地址，发生开甲送乙行为</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9A78A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10000元/车/次，再次发生同时取消供应商资格</w:t>
            </w:r>
          </w:p>
        </w:tc>
      </w:tr>
    </w:tbl>
    <w:p w14:paraId="7A197592">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备注：如客户工厂规定的禁止行为规定标准高于此标准，按严格的规定执行。</w:t>
      </w:r>
    </w:p>
    <w:p w14:paraId="16DCF715">
      <w:pPr>
        <w:widowControl/>
        <w:spacing w:line="320" w:lineRule="atLeast"/>
        <w:ind w:firstLine="403" w:firstLineChars="192"/>
        <w:jc w:val="left"/>
        <w:rPr>
          <w:rFonts w:hint="eastAsia" w:ascii="宋体" w:hAnsi="宋体" w:eastAsia="宋体" w:cs="宋体"/>
          <w:szCs w:val="21"/>
          <w:highlight w:val="none"/>
        </w:rPr>
      </w:pPr>
      <w:r>
        <w:rPr>
          <w:rFonts w:hint="eastAsia" w:ascii="宋体" w:hAnsi="宋体" w:eastAsia="宋体" w:cs="宋体"/>
          <w:szCs w:val="21"/>
          <w:highlight w:val="none"/>
          <w:lang w:val="en-US" w:eastAsia="zh-CN"/>
        </w:rPr>
        <w:t>本公司（单位）郑重声明，若我单位成为本次采购项目的成交供应商，将严格按照《中粮生物科技物流服务供应商禁止行为其他管理要求》中所有条款及要求，全面、合规、如实地执行各项运输服务，确保运输流程安全、规范，完全符合协议约定标准。若存在任何虚假承诺行为，我单位自愿依法承担由此产生的全部法律责任、经济赔偿责任及其他相关一切责任，接受相应处罚。</w:t>
      </w:r>
    </w:p>
    <w:p w14:paraId="39A5DC43">
      <w:pPr>
        <w:snapToGrid w:val="0"/>
        <w:spacing w:line="360" w:lineRule="auto"/>
        <w:ind w:right="24" w:firstLine="440" w:firstLineChars="200"/>
        <w:jc w:val="right"/>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供应商：</w:t>
      </w:r>
      <w:r>
        <w:rPr>
          <w:rFonts w:hint="eastAsia" w:ascii="宋体" w:hAnsi="宋体" w:eastAsia="宋体" w:cs="宋体"/>
          <w:snapToGrid w:val="0"/>
          <w:color w:val="auto"/>
          <w:sz w:val="22"/>
          <w:szCs w:val="20"/>
          <w:highlight w:val="none"/>
          <w:u w:val="single"/>
        </w:rPr>
        <w:t xml:space="preserve">                  （盖章）</w:t>
      </w:r>
    </w:p>
    <w:p w14:paraId="3571502D">
      <w:pPr>
        <w:snapToGrid w:val="0"/>
        <w:spacing w:line="360" w:lineRule="auto"/>
        <w:ind w:left="420" w:leftChars="200" w:firstLine="440" w:firstLineChars="200"/>
        <w:jc w:val="right"/>
        <w:rPr>
          <w:rFonts w:hint="eastAsia" w:ascii="宋体" w:hAnsi="宋体" w:eastAsia="宋体" w:cs="宋体"/>
          <w:b/>
          <w:bCs/>
          <w:color w:val="auto"/>
          <w:sz w:val="24"/>
          <w:szCs w:val="21"/>
          <w:highlight w:val="none"/>
          <w:lang w:bidi="ar"/>
        </w:rPr>
      </w:pP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年</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月</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日</w:t>
      </w:r>
    </w:p>
    <w:p w14:paraId="2053FA13">
      <w:pPr>
        <w:widowControl/>
        <w:adjustRightInd w:val="0"/>
        <w:snapToGrid w:val="0"/>
        <w:spacing w:line="360" w:lineRule="auto"/>
        <w:ind w:firstLine="422" w:firstLineChars="200"/>
        <w:jc w:val="right"/>
        <w:rPr>
          <w:rFonts w:hint="eastAsia" w:ascii="宋体" w:hAnsi="宋体" w:eastAsia="宋体" w:cs="宋体"/>
          <w:snapToGrid w:val="0"/>
          <w:color w:val="auto"/>
          <w:kern w:val="0"/>
          <w:sz w:val="24"/>
          <w:highlight w:val="none"/>
          <w:lang w:bidi="en-US"/>
        </w:rPr>
      </w:pPr>
      <w:r>
        <w:rPr>
          <w:rFonts w:hint="eastAsia" w:ascii="宋体" w:hAnsi="宋体" w:eastAsia="宋体" w:cs="宋体"/>
          <w:b/>
          <w:bCs/>
          <w:color w:val="auto"/>
          <w:szCs w:val="21"/>
          <w:highlight w:val="none"/>
          <w:lang w:bidi="ar"/>
        </w:rPr>
        <w:br w:type="page"/>
      </w:r>
    </w:p>
    <w:p w14:paraId="3E33C115">
      <w:pPr>
        <w:snapToGrid w:val="0"/>
        <w:spacing w:line="360" w:lineRule="auto"/>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13</w:t>
      </w:r>
    </w:p>
    <w:p w14:paraId="1C8899F7">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车辆清单</w:t>
      </w:r>
    </w:p>
    <w:tbl>
      <w:tblPr>
        <w:tblStyle w:val="3"/>
        <w:tblW w:w="9087" w:type="dxa"/>
        <w:jc w:val="center"/>
        <w:tblLayout w:type="autofit"/>
        <w:tblCellMar>
          <w:top w:w="0" w:type="dxa"/>
          <w:left w:w="108" w:type="dxa"/>
          <w:bottom w:w="0" w:type="dxa"/>
          <w:right w:w="108" w:type="dxa"/>
        </w:tblCellMar>
      </w:tblPr>
      <w:tblGrid>
        <w:gridCol w:w="574"/>
        <w:gridCol w:w="1568"/>
        <w:gridCol w:w="567"/>
        <w:gridCol w:w="992"/>
        <w:gridCol w:w="1984"/>
        <w:gridCol w:w="1701"/>
        <w:gridCol w:w="1701"/>
      </w:tblGrid>
      <w:tr w14:paraId="175C6D66">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C3F8BE1">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序号</w:t>
            </w:r>
          </w:p>
        </w:tc>
        <w:tc>
          <w:tcPr>
            <w:tcW w:w="1568" w:type="dxa"/>
            <w:tcBorders>
              <w:top w:val="single" w:color="000000" w:sz="4" w:space="0"/>
              <w:left w:val="single" w:color="000000" w:sz="4" w:space="0"/>
              <w:bottom w:val="single" w:color="000000" w:sz="4" w:space="0"/>
              <w:right w:val="single" w:color="000000" w:sz="4" w:space="0"/>
            </w:tcBorders>
            <w:noWrap w:val="0"/>
            <w:vAlign w:val="center"/>
          </w:tcPr>
          <w:p w14:paraId="53F97126">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车牌号</w:t>
            </w:r>
            <w:r>
              <w:rPr>
                <w:rFonts w:hint="eastAsia" w:ascii="宋体" w:hAnsi="宋体" w:eastAsia="宋体" w:cs="宋体"/>
                <w:b/>
                <w:color w:val="000000"/>
                <w:kern w:val="0"/>
                <w:szCs w:val="21"/>
                <w:highlight w:val="none"/>
              </w:rPr>
              <w:t>（提供行驶证）</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67454C7">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车型</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47304658">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牵引载重</w:t>
            </w:r>
          </w:p>
        </w:tc>
        <w:tc>
          <w:tcPr>
            <w:tcW w:w="1984" w:type="dxa"/>
            <w:tcBorders>
              <w:top w:val="single" w:color="000000" w:sz="4" w:space="0"/>
              <w:left w:val="single" w:color="000000" w:sz="4" w:space="0"/>
              <w:bottom w:val="single" w:color="000000" w:sz="4" w:space="0"/>
              <w:right w:val="single" w:color="000000" w:sz="4" w:space="0"/>
            </w:tcBorders>
            <w:noWrap w:val="0"/>
            <w:vAlign w:val="center"/>
          </w:tcPr>
          <w:p w14:paraId="3F9B29F6">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状态（自有/租赁/</w:t>
            </w:r>
            <w:r>
              <w:rPr>
                <w:rFonts w:hint="eastAsia" w:ascii="宋体" w:hAnsi="宋体" w:eastAsia="宋体" w:cs="宋体"/>
                <w:b/>
                <w:szCs w:val="21"/>
                <w:highlight w:val="none"/>
              </w:rPr>
              <w:t>协议/委托运输</w:t>
            </w:r>
            <w:r>
              <w:rPr>
                <w:rFonts w:hint="eastAsia" w:ascii="宋体" w:hAnsi="宋体" w:eastAsia="宋体" w:cs="宋体"/>
                <w:b/>
                <w:bCs/>
                <w:color w:val="000000"/>
                <w:kern w:val="0"/>
                <w:szCs w:val="21"/>
                <w:highlight w:val="none"/>
              </w:rPr>
              <w:t>）</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6A583236">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司机姓名1</w:t>
            </w:r>
            <w:r>
              <w:rPr>
                <w:rFonts w:hint="eastAsia" w:ascii="宋体" w:hAnsi="宋体" w:eastAsia="宋体" w:cs="宋体"/>
                <w:b/>
                <w:bCs/>
                <w:color w:val="000000"/>
                <w:kern w:val="0"/>
                <w:szCs w:val="21"/>
                <w:highlight w:val="none"/>
              </w:rPr>
              <w:br w:type="textWrapping"/>
            </w:r>
            <w:r>
              <w:rPr>
                <w:rFonts w:hint="eastAsia" w:ascii="宋体" w:hAnsi="宋体" w:eastAsia="宋体" w:cs="宋体"/>
                <w:b/>
                <w:color w:val="000000"/>
                <w:kern w:val="0"/>
                <w:szCs w:val="21"/>
                <w:highlight w:val="none"/>
              </w:rPr>
              <w:t>（提供驾驶证）</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7ED52376">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司机姓名2</w:t>
            </w:r>
            <w:r>
              <w:rPr>
                <w:rFonts w:hint="eastAsia" w:ascii="宋体" w:hAnsi="宋体" w:eastAsia="宋体" w:cs="宋体"/>
                <w:b/>
                <w:bCs/>
                <w:color w:val="000000"/>
                <w:kern w:val="0"/>
                <w:szCs w:val="21"/>
                <w:highlight w:val="none"/>
              </w:rPr>
              <w:br w:type="textWrapping"/>
            </w:r>
            <w:r>
              <w:rPr>
                <w:rFonts w:hint="eastAsia" w:ascii="宋体" w:hAnsi="宋体" w:eastAsia="宋体" w:cs="宋体"/>
                <w:b/>
                <w:color w:val="000000"/>
                <w:kern w:val="0"/>
                <w:szCs w:val="21"/>
                <w:highlight w:val="none"/>
              </w:rPr>
              <w:t>（提供驾驶证）</w:t>
            </w:r>
          </w:p>
        </w:tc>
      </w:tr>
      <w:tr w14:paraId="4403FC34">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38D86D7">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7E2234D5">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2E685A6C">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28E99C7D">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47E22D42">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35EADB80">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04FC7D2B">
            <w:pPr>
              <w:widowControl/>
              <w:jc w:val="left"/>
              <w:rPr>
                <w:rFonts w:hint="eastAsia" w:ascii="宋体" w:hAnsi="宋体" w:eastAsia="宋体" w:cs="宋体"/>
                <w:color w:val="000000"/>
                <w:kern w:val="0"/>
                <w:szCs w:val="21"/>
                <w:highlight w:val="none"/>
              </w:rPr>
            </w:pPr>
          </w:p>
        </w:tc>
      </w:tr>
      <w:tr w14:paraId="2901AF8F">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62F3D57">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w:t>
            </w: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69159380">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75D31F68">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0FE38B4F">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6D3FCC7D">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69D2A4EA">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3AF5E6DC">
            <w:pPr>
              <w:widowControl/>
              <w:jc w:val="left"/>
              <w:rPr>
                <w:rFonts w:hint="eastAsia" w:ascii="宋体" w:hAnsi="宋体" w:eastAsia="宋体" w:cs="宋体"/>
                <w:color w:val="000000"/>
                <w:kern w:val="0"/>
                <w:szCs w:val="21"/>
                <w:highlight w:val="none"/>
              </w:rPr>
            </w:pPr>
          </w:p>
        </w:tc>
      </w:tr>
      <w:tr w14:paraId="2F85C0BA">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F1064B3">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3</w:t>
            </w: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56404A51">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799D3705">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3C0AB1F0">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2482C92">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7B85A002">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30A5F914">
            <w:pPr>
              <w:widowControl/>
              <w:jc w:val="left"/>
              <w:rPr>
                <w:rFonts w:hint="eastAsia" w:ascii="宋体" w:hAnsi="宋体" w:eastAsia="宋体" w:cs="宋体"/>
                <w:color w:val="000000"/>
                <w:kern w:val="0"/>
                <w:szCs w:val="21"/>
                <w:highlight w:val="none"/>
              </w:rPr>
            </w:pPr>
          </w:p>
        </w:tc>
      </w:tr>
      <w:tr w14:paraId="6540E36A">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EA33F62">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4</w:t>
            </w: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5D9F4B7D">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04977A21">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2FE0C05B">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291D5D73">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2BF17E9E">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1AF2993F">
            <w:pPr>
              <w:widowControl/>
              <w:jc w:val="left"/>
              <w:rPr>
                <w:rFonts w:hint="eastAsia" w:ascii="宋体" w:hAnsi="宋体" w:eastAsia="宋体" w:cs="宋体"/>
                <w:color w:val="000000"/>
                <w:kern w:val="0"/>
                <w:szCs w:val="21"/>
                <w:highlight w:val="none"/>
              </w:rPr>
            </w:pPr>
          </w:p>
        </w:tc>
      </w:tr>
      <w:tr w14:paraId="3EF16BD8">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EB016AA">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576061E2">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1DCE2FD9">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2842F19">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6F7203B">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084536C8">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760C466D">
            <w:pPr>
              <w:widowControl/>
              <w:jc w:val="left"/>
              <w:rPr>
                <w:rFonts w:hint="eastAsia" w:ascii="宋体" w:hAnsi="宋体" w:eastAsia="宋体" w:cs="宋体"/>
                <w:color w:val="000000"/>
                <w:kern w:val="0"/>
                <w:szCs w:val="21"/>
                <w:highlight w:val="none"/>
              </w:rPr>
            </w:pPr>
          </w:p>
        </w:tc>
      </w:tr>
      <w:tr w14:paraId="0906BC56">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E06280">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4AD45587">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4CA25AF2">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F2837F3">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33F2E2E4">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365CDA53">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76578DAD">
            <w:pPr>
              <w:widowControl/>
              <w:jc w:val="left"/>
              <w:rPr>
                <w:rFonts w:hint="eastAsia" w:ascii="宋体" w:hAnsi="宋体" w:eastAsia="宋体" w:cs="宋体"/>
                <w:color w:val="000000"/>
                <w:kern w:val="0"/>
                <w:szCs w:val="21"/>
                <w:highlight w:val="none"/>
              </w:rPr>
            </w:pPr>
          </w:p>
        </w:tc>
      </w:tr>
      <w:tr w14:paraId="2BB16A68">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8E3C75">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00F15FB5">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13D6D6EC">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04D7369">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2ECC53D5">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4C84CE0E">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4D61AE30">
            <w:pPr>
              <w:widowControl/>
              <w:jc w:val="left"/>
              <w:rPr>
                <w:rFonts w:hint="eastAsia" w:ascii="宋体" w:hAnsi="宋体" w:eastAsia="宋体" w:cs="宋体"/>
                <w:color w:val="000000"/>
                <w:kern w:val="0"/>
                <w:szCs w:val="21"/>
                <w:highlight w:val="none"/>
              </w:rPr>
            </w:pPr>
          </w:p>
        </w:tc>
      </w:tr>
      <w:tr w14:paraId="3C26BCA5">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1BB61CE">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6BD2D6EC">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0426E70C">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15E76F9">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3D4113B9">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02968BE5">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23A04773">
            <w:pPr>
              <w:widowControl/>
              <w:jc w:val="left"/>
              <w:rPr>
                <w:rFonts w:hint="eastAsia" w:ascii="宋体" w:hAnsi="宋体" w:eastAsia="宋体" w:cs="宋体"/>
                <w:color w:val="000000"/>
                <w:kern w:val="0"/>
                <w:szCs w:val="21"/>
                <w:highlight w:val="none"/>
              </w:rPr>
            </w:pPr>
          </w:p>
        </w:tc>
      </w:tr>
      <w:tr w14:paraId="6D7DA8B4">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998A46D">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06B0C1EC">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7BFCDB06">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674C085">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4338AB6F">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461BCC7B">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3B4D5EF4">
            <w:pPr>
              <w:widowControl/>
              <w:jc w:val="left"/>
              <w:rPr>
                <w:rFonts w:hint="eastAsia" w:ascii="宋体" w:hAnsi="宋体" w:eastAsia="宋体" w:cs="宋体"/>
                <w:color w:val="000000"/>
                <w:kern w:val="0"/>
                <w:szCs w:val="21"/>
                <w:highlight w:val="none"/>
              </w:rPr>
            </w:pPr>
          </w:p>
        </w:tc>
      </w:tr>
      <w:tr w14:paraId="3838E2DA">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14A648F">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27FE230B">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74857915">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F973186">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B5565A4">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04975276">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4D2C6D52">
            <w:pPr>
              <w:widowControl/>
              <w:jc w:val="left"/>
              <w:rPr>
                <w:rFonts w:hint="eastAsia" w:ascii="宋体" w:hAnsi="宋体" w:eastAsia="宋体" w:cs="宋体"/>
                <w:color w:val="000000"/>
                <w:kern w:val="0"/>
                <w:szCs w:val="21"/>
                <w:highlight w:val="none"/>
              </w:rPr>
            </w:pPr>
          </w:p>
        </w:tc>
      </w:tr>
      <w:tr w14:paraId="0E789A36">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0E568E">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33D123A6">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7A117079">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1E01418">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33B9A324">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58E17138">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1D31334B">
            <w:pPr>
              <w:widowControl/>
              <w:jc w:val="left"/>
              <w:rPr>
                <w:rFonts w:hint="eastAsia" w:ascii="宋体" w:hAnsi="宋体" w:eastAsia="宋体" w:cs="宋体"/>
                <w:color w:val="000000"/>
                <w:kern w:val="0"/>
                <w:szCs w:val="21"/>
                <w:highlight w:val="none"/>
              </w:rPr>
            </w:pPr>
          </w:p>
        </w:tc>
      </w:tr>
      <w:tr w14:paraId="3C6D1A87">
        <w:tblPrEx>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9557313">
            <w:pPr>
              <w:widowControl/>
              <w:jc w:val="center"/>
              <w:rPr>
                <w:rFonts w:hint="eastAsia" w:ascii="宋体" w:hAnsi="宋体" w:eastAsia="宋体" w:cs="宋体"/>
                <w:color w:val="000000"/>
                <w:kern w:val="0"/>
                <w:szCs w:val="21"/>
                <w:highlight w:val="none"/>
              </w:rPr>
            </w:pPr>
          </w:p>
        </w:tc>
        <w:tc>
          <w:tcPr>
            <w:tcW w:w="1568" w:type="dxa"/>
            <w:tcBorders>
              <w:top w:val="single" w:color="000000" w:sz="4" w:space="0"/>
              <w:left w:val="single" w:color="000000" w:sz="4" w:space="0"/>
              <w:bottom w:val="single" w:color="000000" w:sz="4" w:space="0"/>
              <w:right w:val="single" w:color="000000" w:sz="4" w:space="0"/>
            </w:tcBorders>
            <w:noWrap/>
            <w:vAlign w:val="center"/>
          </w:tcPr>
          <w:p w14:paraId="08523487">
            <w:pPr>
              <w:widowControl/>
              <w:jc w:val="center"/>
              <w:rPr>
                <w:rFonts w:hint="eastAsia" w:ascii="宋体" w:hAnsi="宋体" w:eastAsia="宋体" w:cs="宋体"/>
                <w:color w:val="000000"/>
                <w:kern w:val="0"/>
                <w:szCs w:val="21"/>
                <w:highlight w:val="none"/>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14:paraId="0E540265">
            <w:pPr>
              <w:widowControl/>
              <w:jc w:val="center"/>
              <w:rPr>
                <w:rFonts w:hint="eastAsia" w:ascii="宋体" w:hAnsi="宋体" w:eastAsia="宋体" w:cs="宋体"/>
                <w:color w:val="000000"/>
                <w:kern w:val="0"/>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CB9989B">
            <w:pPr>
              <w:widowControl/>
              <w:jc w:val="center"/>
              <w:rPr>
                <w:rFonts w:hint="eastAsia" w:ascii="宋体" w:hAnsi="宋体" w:eastAsia="宋体" w:cs="宋体"/>
                <w:color w:val="000000"/>
                <w:kern w:val="0"/>
                <w:szCs w:val="21"/>
                <w:highlight w:val="none"/>
              </w:rPr>
            </w:pP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2194DDF6">
            <w:pPr>
              <w:widowControl/>
              <w:jc w:val="center"/>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083D44F9">
            <w:pPr>
              <w:widowControl/>
              <w:jc w:val="left"/>
              <w:rPr>
                <w:rFonts w:hint="eastAsia" w:ascii="宋体" w:hAnsi="宋体" w:eastAsia="宋体" w:cs="宋体"/>
                <w:color w:val="000000"/>
                <w:kern w:val="0"/>
                <w:szCs w:val="21"/>
                <w:highlight w:val="none"/>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21CDBBE4">
            <w:pPr>
              <w:widowControl/>
              <w:jc w:val="left"/>
              <w:rPr>
                <w:rFonts w:hint="eastAsia" w:ascii="宋体" w:hAnsi="宋体" w:eastAsia="宋体" w:cs="宋体"/>
                <w:color w:val="000000"/>
                <w:kern w:val="0"/>
                <w:szCs w:val="21"/>
                <w:highlight w:val="none"/>
              </w:rPr>
            </w:pPr>
          </w:p>
        </w:tc>
      </w:tr>
    </w:tbl>
    <w:p w14:paraId="028B1D17">
      <w:pPr>
        <w:widowControl/>
        <w:jc w:val="left"/>
        <w:rPr>
          <w:rFonts w:hint="eastAsia" w:ascii="宋体" w:hAnsi="宋体" w:eastAsia="宋体" w:cs="宋体"/>
          <w:b/>
          <w:bCs/>
          <w:sz w:val="24"/>
          <w:szCs w:val="21"/>
          <w:highlight w:val="none"/>
          <w:lang w:bidi="ar"/>
        </w:rPr>
      </w:pPr>
    </w:p>
    <w:p w14:paraId="25460589">
      <w:pPr>
        <w:widowControl/>
        <w:jc w:val="left"/>
        <w:rPr>
          <w:rFonts w:hint="eastAsia" w:ascii="宋体" w:hAnsi="宋体" w:eastAsia="宋体" w:cs="宋体"/>
          <w:b/>
          <w:bCs/>
          <w:sz w:val="24"/>
          <w:szCs w:val="21"/>
          <w:highlight w:val="none"/>
          <w:lang w:bidi="ar"/>
        </w:rPr>
      </w:pPr>
      <w:r>
        <w:rPr>
          <w:rFonts w:hint="eastAsia" w:ascii="宋体" w:hAnsi="宋体" w:eastAsia="宋体" w:cs="宋体"/>
          <w:b/>
          <w:bCs/>
          <w:sz w:val="24"/>
          <w:szCs w:val="21"/>
          <w:highlight w:val="none"/>
          <w:lang w:bidi="ar"/>
        </w:rPr>
        <w:t>注：供应商根据公告中资格要求的内容进行填写，无需提供的列项，可不填写，可根据要求自行修改表格。</w:t>
      </w:r>
    </w:p>
    <w:p w14:paraId="61572A9F">
      <w:pPr>
        <w:widowControl/>
        <w:jc w:val="left"/>
        <w:rPr>
          <w:rFonts w:hint="eastAsia" w:ascii="宋体" w:hAnsi="宋体" w:eastAsia="宋体" w:cs="宋体"/>
          <w:b/>
          <w:bCs/>
          <w:sz w:val="24"/>
          <w:szCs w:val="21"/>
          <w:highlight w:val="none"/>
          <w:lang w:bidi="ar"/>
        </w:rPr>
      </w:pPr>
    </w:p>
    <w:p w14:paraId="0522AF85">
      <w:pPr>
        <w:spacing w:line="360" w:lineRule="auto"/>
        <w:ind w:right="24" w:firstLine="480" w:firstLineChars="200"/>
        <w:jc w:val="right"/>
        <w:rPr>
          <w:rFonts w:hint="eastAsia" w:ascii="宋体" w:hAnsi="宋体" w:eastAsia="宋体" w:cs="宋体"/>
          <w:sz w:val="24"/>
          <w:szCs w:val="21"/>
          <w:highlight w:val="none"/>
        </w:rPr>
      </w:pPr>
      <w:r>
        <w:rPr>
          <w:rFonts w:hint="eastAsia" w:ascii="宋体" w:hAnsi="宋体" w:eastAsia="宋体" w:cs="宋体"/>
          <w:sz w:val="24"/>
          <w:szCs w:val="21"/>
          <w:highlight w:val="none"/>
        </w:rPr>
        <w:t>供应商：</w:t>
      </w:r>
      <w:r>
        <w:rPr>
          <w:rFonts w:hint="eastAsia" w:ascii="宋体" w:hAnsi="宋体" w:eastAsia="宋体" w:cs="宋体"/>
          <w:snapToGrid w:val="0"/>
          <w:sz w:val="24"/>
          <w:szCs w:val="21"/>
          <w:highlight w:val="none"/>
          <w:u w:val="single"/>
        </w:rPr>
        <w:t xml:space="preserve">                  （盖章）</w:t>
      </w:r>
    </w:p>
    <w:p w14:paraId="75D66D33">
      <w:pPr>
        <w:spacing w:line="360" w:lineRule="auto"/>
        <w:ind w:left="420" w:leftChars="200" w:firstLine="480" w:firstLineChars="200"/>
        <w:jc w:val="right"/>
        <w:rPr>
          <w:rFonts w:hint="eastAsia" w:ascii="宋体" w:hAnsi="宋体" w:eastAsia="宋体" w:cs="宋体"/>
          <w:snapToGrid w:val="0"/>
          <w:kern w:val="0"/>
          <w:sz w:val="24"/>
          <w:szCs w:val="21"/>
          <w:highlight w:val="none"/>
        </w:rPr>
      </w:pPr>
      <w:r>
        <w:rPr>
          <w:rFonts w:hint="eastAsia" w:ascii="宋体" w:hAnsi="宋体" w:eastAsia="宋体" w:cs="宋体"/>
          <w:snapToGrid w:val="0"/>
          <w:sz w:val="24"/>
          <w:szCs w:val="21"/>
          <w:highlight w:val="none"/>
          <w:u w:val="single"/>
        </w:rPr>
        <w:t xml:space="preserve">   </w:t>
      </w:r>
      <w:r>
        <w:rPr>
          <w:rFonts w:hint="eastAsia" w:ascii="宋体" w:hAnsi="宋体" w:eastAsia="宋体" w:cs="宋体"/>
          <w:snapToGrid w:val="0"/>
          <w:kern w:val="0"/>
          <w:sz w:val="24"/>
          <w:szCs w:val="21"/>
          <w:highlight w:val="none"/>
          <w:u w:val="single"/>
        </w:rPr>
        <w:t xml:space="preserve">  </w:t>
      </w:r>
      <w:r>
        <w:rPr>
          <w:rFonts w:hint="eastAsia" w:ascii="宋体" w:hAnsi="宋体" w:eastAsia="宋体" w:cs="宋体"/>
          <w:snapToGrid w:val="0"/>
          <w:kern w:val="0"/>
          <w:sz w:val="24"/>
          <w:szCs w:val="21"/>
          <w:highlight w:val="none"/>
        </w:rPr>
        <w:t>年</w:t>
      </w:r>
      <w:r>
        <w:rPr>
          <w:rFonts w:hint="eastAsia" w:ascii="宋体" w:hAnsi="宋体" w:eastAsia="宋体" w:cs="宋体"/>
          <w:snapToGrid w:val="0"/>
          <w:sz w:val="24"/>
          <w:szCs w:val="21"/>
          <w:highlight w:val="none"/>
          <w:u w:val="single"/>
        </w:rPr>
        <w:t xml:space="preserve">   </w:t>
      </w:r>
      <w:r>
        <w:rPr>
          <w:rFonts w:hint="eastAsia" w:ascii="宋体" w:hAnsi="宋体" w:eastAsia="宋体" w:cs="宋体"/>
          <w:snapToGrid w:val="0"/>
          <w:kern w:val="0"/>
          <w:sz w:val="24"/>
          <w:szCs w:val="21"/>
          <w:highlight w:val="none"/>
          <w:u w:val="single"/>
        </w:rPr>
        <w:t xml:space="preserve">  </w:t>
      </w:r>
      <w:r>
        <w:rPr>
          <w:rFonts w:hint="eastAsia" w:ascii="宋体" w:hAnsi="宋体" w:eastAsia="宋体" w:cs="宋体"/>
          <w:snapToGrid w:val="0"/>
          <w:kern w:val="0"/>
          <w:sz w:val="24"/>
          <w:szCs w:val="21"/>
          <w:highlight w:val="none"/>
        </w:rPr>
        <w:t>月</w:t>
      </w:r>
      <w:r>
        <w:rPr>
          <w:rFonts w:hint="eastAsia" w:ascii="宋体" w:hAnsi="宋体" w:eastAsia="宋体" w:cs="宋体"/>
          <w:snapToGrid w:val="0"/>
          <w:sz w:val="24"/>
          <w:szCs w:val="21"/>
          <w:highlight w:val="none"/>
          <w:u w:val="single"/>
        </w:rPr>
        <w:t xml:space="preserve">   </w:t>
      </w:r>
      <w:r>
        <w:rPr>
          <w:rFonts w:hint="eastAsia" w:ascii="宋体" w:hAnsi="宋体" w:eastAsia="宋体" w:cs="宋体"/>
          <w:snapToGrid w:val="0"/>
          <w:kern w:val="0"/>
          <w:sz w:val="24"/>
          <w:szCs w:val="21"/>
          <w:highlight w:val="none"/>
          <w:u w:val="single"/>
        </w:rPr>
        <w:t xml:space="preserve">  </w:t>
      </w:r>
      <w:r>
        <w:rPr>
          <w:rFonts w:hint="eastAsia" w:ascii="宋体" w:hAnsi="宋体" w:eastAsia="宋体" w:cs="宋体"/>
          <w:snapToGrid w:val="0"/>
          <w:kern w:val="0"/>
          <w:sz w:val="24"/>
          <w:szCs w:val="21"/>
          <w:highlight w:val="none"/>
        </w:rPr>
        <w:t>日</w:t>
      </w:r>
    </w:p>
    <w:p w14:paraId="664DB82C">
      <w:pPr>
        <w:widowControl/>
        <w:jc w:val="left"/>
        <w:rPr>
          <w:rFonts w:hint="eastAsia" w:ascii="宋体" w:hAnsi="宋体" w:eastAsia="宋体" w:cs="宋体"/>
          <w:snapToGrid w:val="0"/>
          <w:kern w:val="0"/>
          <w:sz w:val="24"/>
          <w:lang w:bidi="en-US"/>
        </w:rPr>
      </w:pPr>
    </w:p>
    <w:p w14:paraId="42012871">
      <w:pPr>
        <w:widowControl/>
        <w:jc w:val="left"/>
        <w:rPr>
          <w:rFonts w:hint="eastAsia" w:ascii="宋体" w:hAnsi="宋体" w:eastAsia="宋体" w:cs="宋体"/>
          <w:snapToGrid w:val="0"/>
          <w:kern w:val="0"/>
          <w:sz w:val="24"/>
          <w:lang w:bidi="en-US"/>
        </w:rPr>
      </w:pPr>
    </w:p>
    <w:p w14:paraId="34CA6422">
      <w:pPr>
        <w:widowControl/>
        <w:jc w:val="left"/>
        <w:rPr>
          <w:rFonts w:hint="eastAsia" w:ascii="宋体" w:hAnsi="宋体" w:eastAsia="宋体" w:cs="宋体"/>
          <w:snapToGrid w:val="0"/>
          <w:kern w:val="0"/>
          <w:sz w:val="24"/>
          <w:lang w:bidi="en-US"/>
        </w:rPr>
      </w:pPr>
    </w:p>
    <w:p w14:paraId="34531C35">
      <w:pPr>
        <w:widowControl/>
        <w:jc w:val="left"/>
        <w:rPr>
          <w:rFonts w:hint="eastAsia" w:ascii="宋体" w:hAnsi="宋体" w:eastAsia="宋体" w:cs="宋体"/>
          <w:snapToGrid w:val="0"/>
          <w:kern w:val="0"/>
          <w:sz w:val="24"/>
          <w:lang w:bidi="en-US"/>
        </w:rPr>
      </w:pPr>
    </w:p>
    <w:p w14:paraId="0743DCE1">
      <w:pPr>
        <w:widowControl/>
        <w:jc w:val="left"/>
        <w:rPr>
          <w:rFonts w:hint="eastAsia" w:ascii="宋体" w:hAnsi="宋体" w:eastAsia="宋体" w:cs="宋体"/>
          <w:snapToGrid w:val="0"/>
          <w:kern w:val="0"/>
          <w:sz w:val="24"/>
          <w:lang w:bidi="en-US"/>
        </w:rPr>
      </w:pPr>
      <w:r>
        <w:rPr>
          <w:rFonts w:hint="eastAsia" w:ascii="宋体" w:hAnsi="宋体" w:eastAsia="宋体" w:cs="宋体"/>
          <w:snapToGrid w:val="0"/>
          <w:kern w:val="0"/>
          <w:sz w:val="24"/>
          <w:lang w:bidi="en-US"/>
        </w:rPr>
        <w:br w:type="page"/>
      </w:r>
    </w:p>
    <w:p w14:paraId="6A3F67AA">
      <w:pPr>
        <w:snapToGrid w:val="0"/>
        <w:spacing w:line="360" w:lineRule="auto"/>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14</w:t>
      </w:r>
      <w:r>
        <w:rPr>
          <w:rFonts w:hint="eastAsia" w:ascii="宋体" w:hAnsi="宋体" w:eastAsia="宋体" w:cs="宋体"/>
          <w:b/>
          <w:bCs/>
          <w:snapToGrid w:val="0"/>
          <w:color w:val="auto"/>
          <w:kern w:val="0"/>
          <w:sz w:val="24"/>
          <w:highlight w:val="none"/>
          <w:lang w:bidi="en-US"/>
        </w:rPr>
        <w:t>： 谈判文件费支付凭证截图</w:t>
      </w:r>
      <w:bookmarkEnd w:id="4"/>
    </w:p>
    <w:p w14:paraId="1E5D38C7">
      <w:pPr>
        <w:snapToGrid w:val="0"/>
        <w:spacing w:line="360" w:lineRule="auto"/>
        <w:rPr>
          <w:rFonts w:hint="eastAsia" w:ascii="宋体" w:hAnsi="宋体" w:eastAsia="宋体" w:cs="宋体"/>
          <w:snapToGrid w:val="0"/>
          <w:color w:val="FF0000"/>
          <w:kern w:val="0"/>
          <w:sz w:val="24"/>
          <w:highlight w:val="yellow"/>
          <w:lang w:bidi="en-US"/>
        </w:rPr>
      </w:pPr>
      <w:r>
        <w:rPr>
          <w:rFonts w:hint="eastAsia" w:ascii="宋体" w:hAnsi="宋体" w:eastAsia="宋体" w:cs="宋体"/>
          <w:snapToGrid w:val="0"/>
          <w:color w:val="FF0000"/>
          <w:kern w:val="0"/>
          <w:sz w:val="24"/>
          <w:highlight w:val="yellow"/>
          <w:lang w:bidi="en-US"/>
        </w:rPr>
        <w:t>注：1.扫描二维码，勾选参加的标包后，点击支付。</w:t>
      </w:r>
    </w:p>
    <w:p w14:paraId="1E1E2B8C">
      <w:pPr>
        <w:snapToGrid w:val="0"/>
        <w:spacing w:line="360" w:lineRule="auto"/>
        <w:rPr>
          <w:rFonts w:hint="eastAsia" w:ascii="宋体" w:hAnsi="宋体" w:eastAsia="宋体" w:cs="宋体"/>
          <w:snapToGrid w:val="0"/>
          <w:color w:val="FF0000"/>
          <w:kern w:val="0"/>
          <w:sz w:val="24"/>
          <w:lang w:bidi="en-US"/>
        </w:rPr>
      </w:pPr>
      <w:r>
        <w:rPr>
          <w:rFonts w:hint="eastAsia" w:ascii="宋体" w:hAnsi="宋体" w:eastAsia="宋体" w:cs="宋体"/>
          <w:snapToGrid w:val="0"/>
          <w:color w:val="FF0000"/>
          <w:kern w:val="0"/>
          <w:sz w:val="24"/>
          <w:highlight w:val="yellow"/>
          <w:lang w:bidi="en-US"/>
        </w:rPr>
        <w:t>2.所有参加的标包，必须从中粮E采平台下载一次对应标包的谈判文件及附件，无下载记录的标包后期无法进行报价！！！！</w:t>
      </w:r>
    </w:p>
    <w:p w14:paraId="592518C3">
      <w:pPr>
        <w:rPr>
          <w:rFonts w:hint="eastAsia" w:ascii="宋体" w:hAnsi="宋体" w:eastAsia="宋体" w:cs="宋体"/>
          <w:sz w:val="22"/>
          <w:szCs w:val="21"/>
          <w:lang w:bidi="ar"/>
        </w:rPr>
      </w:pPr>
      <w:r>
        <w:rPr>
          <w:rFonts w:hint="eastAsia" w:ascii="宋体" w:hAnsi="宋体" w:eastAsia="宋体" w:cs="宋体"/>
          <w:sz w:val="22"/>
          <w:szCs w:val="21"/>
          <w:lang w:bidi="ar"/>
        </w:rPr>
        <w:t>收费二维码如下图：</w:t>
      </w:r>
    </w:p>
    <w:p w14:paraId="5AEB76B1">
      <w:pPr>
        <w:snapToGrid w:val="0"/>
        <w:spacing w:line="360" w:lineRule="auto"/>
        <w:rPr>
          <w:rFonts w:hint="eastAsia" w:ascii="宋体" w:hAnsi="宋体" w:eastAsia="宋体" w:cs="宋体"/>
          <w:snapToGrid w:val="0"/>
          <w:kern w:val="0"/>
          <w:sz w:val="24"/>
          <w:lang w:bidi="en-US"/>
        </w:rPr>
      </w:pPr>
    </w:p>
    <w:p w14:paraId="4CB40F66">
      <w:pPr>
        <w:jc w:val="center"/>
        <w:rPr>
          <w:rFonts w:hint="eastAsia" w:ascii="宋体" w:hAnsi="宋体" w:eastAsia="宋体" w:cs="宋体"/>
        </w:rPr>
      </w:pPr>
      <w:r>
        <w:rPr>
          <w:rFonts w:hint="eastAsia" w:ascii="宋体" w:hAnsi="宋体" w:eastAsia="宋体" w:cs="宋体"/>
        </w:rPr>
        <w:drawing>
          <wp:inline distT="0" distB="0" distL="114300" distR="114300">
            <wp:extent cx="3840480" cy="3441065"/>
            <wp:effectExtent l="0" t="0" r="7620"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3840480" cy="3441065"/>
                    </a:xfrm>
                    <a:prstGeom prst="rect">
                      <a:avLst/>
                    </a:prstGeom>
                    <a:noFill/>
                    <a:ln>
                      <a:noFill/>
                    </a:ln>
                  </pic:spPr>
                </pic:pic>
              </a:graphicData>
            </a:graphic>
          </wp:inline>
        </w:drawing>
      </w:r>
    </w:p>
    <w:p w14:paraId="75CE9C21">
      <w:pPr>
        <w:rPr>
          <w:rFonts w:hint="eastAsia" w:ascii="宋体" w:hAnsi="宋体" w:eastAsia="宋体" w:cs="宋体"/>
          <w:snapToGrid w:val="0"/>
          <w:color w:val="FF0000"/>
          <w:kern w:val="0"/>
          <w:sz w:val="24"/>
          <w:lang w:eastAsia="zh-CN" w:bidi="en-US"/>
        </w:rPr>
      </w:pPr>
      <w:r>
        <w:rPr>
          <w:rFonts w:hint="eastAsia" w:ascii="宋体" w:hAnsi="宋体" w:eastAsia="宋体" w:cs="宋体"/>
          <w:snapToGrid w:val="0"/>
          <w:color w:val="FF0000"/>
          <w:kern w:val="0"/>
          <w:sz w:val="24"/>
          <w:lang w:bidi="en-US"/>
        </w:rPr>
        <w:t>附：谈判文件费支付凭证截图</w:t>
      </w:r>
      <w:r>
        <w:rPr>
          <w:rFonts w:hint="eastAsia" w:ascii="宋体" w:hAnsi="宋体" w:eastAsia="宋体" w:cs="宋体"/>
          <w:snapToGrid w:val="0"/>
          <w:color w:val="FF0000"/>
          <w:kern w:val="0"/>
          <w:sz w:val="24"/>
          <w:lang w:eastAsia="zh-CN" w:bidi="en-US"/>
        </w:rPr>
        <w:t>：</w:t>
      </w:r>
    </w:p>
    <w:p w14:paraId="54C43D71">
      <w:pPr>
        <w:rPr>
          <w:rFonts w:hint="eastAsia" w:ascii="宋体" w:hAnsi="宋体" w:eastAsia="宋体" w:cs="宋体"/>
        </w:rPr>
      </w:pPr>
    </w:p>
    <w:p w14:paraId="000B8B5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CD69F"/>
    <w:multiLevelType w:val="singleLevel"/>
    <w:tmpl w:val="032CD69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856"/>
    <w:rsid w:val="001B223C"/>
    <w:rsid w:val="003D0856"/>
    <w:rsid w:val="00454114"/>
    <w:rsid w:val="00511745"/>
    <w:rsid w:val="005C6ADC"/>
    <w:rsid w:val="0071553A"/>
    <w:rsid w:val="0092767A"/>
    <w:rsid w:val="00942C2D"/>
    <w:rsid w:val="00D26D9F"/>
    <w:rsid w:val="01205D5C"/>
    <w:rsid w:val="014C6B51"/>
    <w:rsid w:val="01763BCE"/>
    <w:rsid w:val="01CF7782"/>
    <w:rsid w:val="02184C85"/>
    <w:rsid w:val="022C0855"/>
    <w:rsid w:val="03045209"/>
    <w:rsid w:val="03555A65"/>
    <w:rsid w:val="03AA5DB1"/>
    <w:rsid w:val="04C66C1A"/>
    <w:rsid w:val="05171224"/>
    <w:rsid w:val="068E3768"/>
    <w:rsid w:val="06BF1B73"/>
    <w:rsid w:val="082779D0"/>
    <w:rsid w:val="08CF1E16"/>
    <w:rsid w:val="09931095"/>
    <w:rsid w:val="09D9119E"/>
    <w:rsid w:val="0AAC240E"/>
    <w:rsid w:val="0AF97BCD"/>
    <w:rsid w:val="0B550CF8"/>
    <w:rsid w:val="0BC67500"/>
    <w:rsid w:val="0BCE4606"/>
    <w:rsid w:val="0BF24799"/>
    <w:rsid w:val="0CC25F19"/>
    <w:rsid w:val="0D272220"/>
    <w:rsid w:val="0D5D5C42"/>
    <w:rsid w:val="0D8853B5"/>
    <w:rsid w:val="0D9F7DB1"/>
    <w:rsid w:val="0E2A1FC8"/>
    <w:rsid w:val="0E39220B"/>
    <w:rsid w:val="0EEC54CF"/>
    <w:rsid w:val="10593038"/>
    <w:rsid w:val="10A047C3"/>
    <w:rsid w:val="10EC5C5A"/>
    <w:rsid w:val="110A60E1"/>
    <w:rsid w:val="114333A1"/>
    <w:rsid w:val="116457F1"/>
    <w:rsid w:val="11F76665"/>
    <w:rsid w:val="12107727"/>
    <w:rsid w:val="130C6140"/>
    <w:rsid w:val="13203999"/>
    <w:rsid w:val="13B16CE7"/>
    <w:rsid w:val="142474B9"/>
    <w:rsid w:val="149D101A"/>
    <w:rsid w:val="15657D89"/>
    <w:rsid w:val="15997A33"/>
    <w:rsid w:val="15D849FF"/>
    <w:rsid w:val="15EC2259"/>
    <w:rsid w:val="163F4A7E"/>
    <w:rsid w:val="16832BBD"/>
    <w:rsid w:val="168E50BE"/>
    <w:rsid w:val="170A0BE8"/>
    <w:rsid w:val="17457E73"/>
    <w:rsid w:val="174F2A9F"/>
    <w:rsid w:val="175005C5"/>
    <w:rsid w:val="17914E66"/>
    <w:rsid w:val="17944956"/>
    <w:rsid w:val="195E521C"/>
    <w:rsid w:val="1A366198"/>
    <w:rsid w:val="1A693E78"/>
    <w:rsid w:val="1AFC4CEC"/>
    <w:rsid w:val="1B1262BE"/>
    <w:rsid w:val="1B334486"/>
    <w:rsid w:val="1B3501FE"/>
    <w:rsid w:val="1B4B17D0"/>
    <w:rsid w:val="1B8A22F8"/>
    <w:rsid w:val="1B9A62B3"/>
    <w:rsid w:val="1C6E39C8"/>
    <w:rsid w:val="1C760ACE"/>
    <w:rsid w:val="1C76287C"/>
    <w:rsid w:val="1C872CDB"/>
    <w:rsid w:val="1C907DE2"/>
    <w:rsid w:val="1CB11B06"/>
    <w:rsid w:val="1D271DC8"/>
    <w:rsid w:val="1D4B3D09"/>
    <w:rsid w:val="1DB573D4"/>
    <w:rsid w:val="1DE32193"/>
    <w:rsid w:val="1E195BB5"/>
    <w:rsid w:val="1ECF44C6"/>
    <w:rsid w:val="1F2E743E"/>
    <w:rsid w:val="1FE3647B"/>
    <w:rsid w:val="205630F0"/>
    <w:rsid w:val="21076199"/>
    <w:rsid w:val="21110DC5"/>
    <w:rsid w:val="21893052"/>
    <w:rsid w:val="21BF6A73"/>
    <w:rsid w:val="226F3FF6"/>
    <w:rsid w:val="230E7CB2"/>
    <w:rsid w:val="23A93537"/>
    <w:rsid w:val="246D5DEC"/>
    <w:rsid w:val="247B4ED4"/>
    <w:rsid w:val="24CA7C09"/>
    <w:rsid w:val="24DC16EA"/>
    <w:rsid w:val="24F627AC"/>
    <w:rsid w:val="257F27A2"/>
    <w:rsid w:val="25AB17E9"/>
    <w:rsid w:val="25B06DFF"/>
    <w:rsid w:val="25CE197B"/>
    <w:rsid w:val="26775B6F"/>
    <w:rsid w:val="267A11BB"/>
    <w:rsid w:val="26995AE5"/>
    <w:rsid w:val="27383550"/>
    <w:rsid w:val="27475541"/>
    <w:rsid w:val="27D56FF1"/>
    <w:rsid w:val="283D06F2"/>
    <w:rsid w:val="285717B4"/>
    <w:rsid w:val="28642123"/>
    <w:rsid w:val="28757E8C"/>
    <w:rsid w:val="28D63020"/>
    <w:rsid w:val="28E3573D"/>
    <w:rsid w:val="29192F0D"/>
    <w:rsid w:val="29194CBB"/>
    <w:rsid w:val="29954C89"/>
    <w:rsid w:val="2A2878AC"/>
    <w:rsid w:val="2AD53769"/>
    <w:rsid w:val="2AE31A25"/>
    <w:rsid w:val="2AF754D0"/>
    <w:rsid w:val="2AFE685E"/>
    <w:rsid w:val="2B4F70BA"/>
    <w:rsid w:val="2B8723B0"/>
    <w:rsid w:val="2BB62C95"/>
    <w:rsid w:val="2BCD4FE1"/>
    <w:rsid w:val="2C22032B"/>
    <w:rsid w:val="2CBF3DCB"/>
    <w:rsid w:val="2CEE645F"/>
    <w:rsid w:val="2D1A7254"/>
    <w:rsid w:val="2DAC4350"/>
    <w:rsid w:val="2DEE0C03"/>
    <w:rsid w:val="2DEE4968"/>
    <w:rsid w:val="2E56075F"/>
    <w:rsid w:val="2EBD433B"/>
    <w:rsid w:val="2EC90F31"/>
    <w:rsid w:val="2F063F34"/>
    <w:rsid w:val="2F416D1A"/>
    <w:rsid w:val="2F68074A"/>
    <w:rsid w:val="2FD951A4"/>
    <w:rsid w:val="302723B3"/>
    <w:rsid w:val="303D5733"/>
    <w:rsid w:val="306C426A"/>
    <w:rsid w:val="3082583C"/>
    <w:rsid w:val="308B46F0"/>
    <w:rsid w:val="31540F86"/>
    <w:rsid w:val="31B23EFF"/>
    <w:rsid w:val="320504D2"/>
    <w:rsid w:val="3216448E"/>
    <w:rsid w:val="321E1594"/>
    <w:rsid w:val="32F4328A"/>
    <w:rsid w:val="32FC18D5"/>
    <w:rsid w:val="330662B0"/>
    <w:rsid w:val="33900270"/>
    <w:rsid w:val="339A2E9C"/>
    <w:rsid w:val="33E81E5A"/>
    <w:rsid w:val="34AA710F"/>
    <w:rsid w:val="34E5188F"/>
    <w:rsid w:val="34E72111"/>
    <w:rsid w:val="356C3834"/>
    <w:rsid w:val="36070CBD"/>
    <w:rsid w:val="37023232"/>
    <w:rsid w:val="374750E9"/>
    <w:rsid w:val="379540A7"/>
    <w:rsid w:val="385B709E"/>
    <w:rsid w:val="385E26EA"/>
    <w:rsid w:val="38AF1198"/>
    <w:rsid w:val="38B60778"/>
    <w:rsid w:val="38C84008"/>
    <w:rsid w:val="38FA1260"/>
    <w:rsid w:val="39382F3B"/>
    <w:rsid w:val="393D49F6"/>
    <w:rsid w:val="39447B32"/>
    <w:rsid w:val="39553AED"/>
    <w:rsid w:val="39E92488"/>
    <w:rsid w:val="39FF1CAB"/>
    <w:rsid w:val="3AFD443D"/>
    <w:rsid w:val="3C1557B6"/>
    <w:rsid w:val="3C395948"/>
    <w:rsid w:val="3CB21257"/>
    <w:rsid w:val="3CD64F45"/>
    <w:rsid w:val="3CEF6007"/>
    <w:rsid w:val="3D18555E"/>
    <w:rsid w:val="3D232155"/>
    <w:rsid w:val="3D536596"/>
    <w:rsid w:val="3D6562C9"/>
    <w:rsid w:val="3D69400B"/>
    <w:rsid w:val="3E9055C8"/>
    <w:rsid w:val="3EB2553E"/>
    <w:rsid w:val="3ECC2AA4"/>
    <w:rsid w:val="3ED43706"/>
    <w:rsid w:val="3EDA6843"/>
    <w:rsid w:val="3F122481"/>
    <w:rsid w:val="3F8844F1"/>
    <w:rsid w:val="402547BC"/>
    <w:rsid w:val="40520D87"/>
    <w:rsid w:val="408A6FFC"/>
    <w:rsid w:val="416074D3"/>
    <w:rsid w:val="4162149D"/>
    <w:rsid w:val="41727207"/>
    <w:rsid w:val="41C537DA"/>
    <w:rsid w:val="42162288"/>
    <w:rsid w:val="425D1C65"/>
    <w:rsid w:val="42A17DA3"/>
    <w:rsid w:val="433B01F8"/>
    <w:rsid w:val="43F263DD"/>
    <w:rsid w:val="44000AFA"/>
    <w:rsid w:val="443A225E"/>
    <w:rsid w:val="44A122DD"/>
    <w:rsid w:val="44A616A1"/>
    <w:rsid w:val="45435142"/>
    <w:rsid w:val="45772094"/>
    <w:rsid w:val="45B95404"/>
    <w:rsid w:val="45F34DBA"/>
    <w:rsid w:val="45F428E0"/>
    <w:rsid w:val="46072613"/>
    <w:rsid w:val="46205483"/>
    <w:rsid w:val="46436698"/>
    <w:rsid w:val="46AC31BB"/>
    <w:rsid w:val="46BC1650"/>
    <w:rsid w:val="472965B9"/>
    <w:rsid w:val="47721D0E"/>
    <w:rsid w:val="47867568"/>
    <w:rsid w:val="47AA6B0A"/>
    <w:rsid w:val="47C702AC"/>
    <w:rsid w:val="4839282C"/>
    <w:rsid w:val="48B63E7D"/>
    <w:rsid w:val="49667651"/>
    <w:rsid w:val="49F509D5"/>
    <w:rsid w:val="4A804742"/>
    <w:rsid w:val="4B35552D"/>
    <w:rsid w:val="4B47153B"/>
    <w:rsid w:val="4B685902"/>
    <w:rsid w:val="4B7324F9"/>
    <w:rsid w:val="4B7A5635"/>
    <w:rsid w:val="4BD05255"/>
    <w:rsid w:val="4BE807F1"/>
    <w:rsid w:val="4C4D2D4A"/>
    <w:rsid w:val="4C8272C8"/>
    <w:rsid w:val="4C9646F1"/>
    <w:rsid w:val="4C9E35A6"/>
    <w:rsid w:val="4CB86415"/>
    <w:rsid w:val="4D185106"/>
    <w:rsid w:val="4D227D33"/>
    <w:rsid w:val="4D7A7B6F"/>
    <w:rsid w:val="4DCB3F26"/>
    <w:rsid w:val="4E2B70BB"/>
    <w:rsid w:val="4E555EE6"/>
    <w:rsid w:val="4E5B34FC"/>
    <w:rsid w:val="4E742810"/>
    <w:rsid w:val="4E8862BB"/>
    <w:rsid w:val="4ED27537"/>
    <w:rsid w:val="4EE2777A"/>
    <w:rsid w:val="4F277882"/>
    <w:rsid w:val="50AC6291"/>
    <w:rsid w:val="52B458D1"/>
    <w:rsid w:val="52BB0A0D"/>
    <w:rsid w:val="53803A05"/>
    <w:rsid w:val="53CE29C2"/>
    <w:rsid w:val="54176117"/>
    <w:rsid w:val="557E3F74"/>
    <w:rsid w:val="55A51501"/>
    <w:rsid w:val="55E71B19"/>
    <w:rsid w:val="56521689"/>
    <w:rsid w:val="569E667C"/>
    <w:rsid w:val="56C360E3"/>
    <w:rsid w:val="56E878F7"/>
    <w:rsid w:val="57122BC6"/>
    <w:rsid w:val="58CD4FF7"/>
    <w:rsid w:val="58E42340"/>
    <w:rsid w:val="59657925"/>
    <w:rsid w:val="59741916"/>
    <w:rsid w:val="5A074538"/>
    <w:rsid w:val="5A56726E"/>
    <w:rsid w:val="5A9D30EE"/>
    <w:rsid w:val="5C142F3C"/>
    <w:rsid w:val="5C207B33"/>
    <w:rsid w:val="5C533A65"/>
    <w:rsid w:val="5C651D4C"/>
    <w:rsid w:val="5C9D1184"/>
    <w:rsid w:val="5CA16EC6"/>
    <w:rsid w:val="5CC20BEA"/>
    <w:rsid w:val="5D1F428F"/>
    <w:rsid w:val="5D30024A"/>
    <w:rsid w:val="5D8F6D1E"/>
    <w:rsid w:val="5E0A45F7"/>
    <w:rsid w:val="5E6C3504"/>
    <w:rsid w:val="5EF37781"/>
    <w:rsid w:val="5F9C3975"/>
    <w:rsid w:val="5FD01870"/>
    <w:rsid w:val="60123C37"/>
    <w:rsid w:val="60457B68"/>
    <w:rsid w:val="604F09E7"/>
    <w:rsid w:val="60C2565D"/>
    <w:rsid w:val="6131633F"/>
    <w:rsid w:val="618B3CA1"/>
    <w:rsid w:val="61F5736C"/>
    <w:rsid w:val="624F4CCE"/>
    <w:rsid w:val="627B1F67"/>
    <w:rsid w:val="637F15E3"/>
    <w:rsid w:val="63A22649"/>
    <w:rsid w:val="63E458EA"/>
    <w:rsid w:val="646F3406"/>
    <w:rsid w:val="64BD6867"/>
    <w:rsid w:val="64F658D5"/>
    <w:rsid w:val="65130235"/>
    <w:rsid w:val="65D8322D"/>
    <w:rsid w:val="6635067F"/>
    <w:rsid w:val="6646463A"/>
    <w:rsid w:val="667016B7"/>
    <w:rsid w:val="668A2779"/>
    <w:rsid w:val="668D4017"/>
    <w:rsid w:val="6753700F"/>
    <w:rsid w:val="685A617B"/>
    <w:rsid w:val="6897117D"/>
    <w:rsid w:val="6942733B"/>
    <w:rsid w:val="69913E1E"/>
    <w:rsid w:val="69A00505"/>
    <w:rsid w:val="6B96571C"/>
    <w:rsid w:val="6C89184B"/>
    <w:rsid w:val="6C9C4FB4"/>
    <w:rsid w:val="6CD7423E"/>
    <w:rsid w:val="6CE150BD"/>
    <w:rsid w:val="6D2F5E28"/>
    <w:rsid w:val="6D594C53"/>
    <w:rsid w:val="6D745F31"/>
    <w:rsid w:val="6D806684"/>
    <w:rsid w:val="6DE22E9A"/>
    <w:rsid w:val="6E056B89"/>
    <w:rsid w:val="6E386F5E"/>
    <w:rsid w:val="6F0926A9"/>
    <w:rsid w:val="6F125A01"/>
    <w:rsid w:val="6F6A3147"/>
    <w:rsid w:val="6FB22D40"/>
    <w:rsid w:val="6FBB39A3"/>
    <w:rsid w:val="70AB3A18"/>
    <w:rsid w:val="71097386"/>
    <w:rsid w:val="715E4F2E"/>
    <w:rsid w:val="71BC3A02"/>
    <w:rsid w:val="722F68CA"/>
    <w:rsid w:val="72987FCC"/>
    <w:rsid w:val="730B2E93"/>
    <w:rsid w:val="73CA0659"/>
    <w:rsid w:val="73E6120B"/>
    <w:rsid w:val="74235FBB"/>
    <w:rsid w:val="74367A9C"/>
    <w:rsid w:val="74650381"/>
    <w:rsid w:val="74E05C5A"/>
    <w:rsid w:val="756B5E6B"/>
    <w:rsid w:val="756E14B8"/>
    <w:rsid w:val="75C37A55"/>
    <w:rsid w:val="75D43A11"/>
    <w:rsid w:val="75DC0B17"/>
    <w:rsid w:val="75EC1B28"/>
    <w:rsid w:val="75F25C45"/>
    <w:rsid w:val="75FE0A8D"/>
    <w:rsid w:val="76524935"/>
    <w:rsid w:val="76530DD9"/>
    <w:rsid w:val="76C375E1"/>
    <w:rsid w:val="770025E3"/>
    <w:rsid w:val="77B51620"/>
    <w:rsid w:val="79B24069"/>
    <w:rsid w:val="7A0B19CB"/>
    <w:rsid w:val="7A635363"/>
    <w:rsid w:val="7AF84BED"/>
    <w:rsid w:val="7B827A6B"/>
    <w:rsid w:val="7BCD518A"/>
    <w:rsid w:val="7BDC717B"/>
    <w:rsid w:val="7C1A5EF5"/>
    <w:rsid w:val="7C6453C2"/>
    <w:rsid w:val="7CEC7892"/>
    <w:rsid w:val="7D20753B"/>
    <w:rsid w:val="7D733B0F"/>
    <w:rsid w:val="7DB83C18"/>
    <w:rsid w:val="7DF764EE"/>
    <w:rsid w:val="7E3C03A5"/>
    <w:rsid w:val="7E3C65F7"/>
    <w:rsid w:val="7EAB1087"/>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paragraph" w:styleId="5">
    <w:name w:val="List Paragraph"/>
    <w:basedOn w:val="1"/>
    <w:qFormat/>
    <w:uiPriority w:val="99"/>
    <w:pPr>
      <w:ind w:firstLine="420" w:firstLineChars="200"/>
    </w:pPr>
  </w:style>
  <w:style w:type="character" w:customStyle="1" w:styleId="6">
    <w:name w:val="批注框文本 Char"/>
    <w:basedOn w:val="4"/>
    <w:link w:val="2"/>
    <w:semiHidden/>
    <w:uiPriority w:val="99"/>
    <w:rPr>
      <w:rFonts w:ascii="Calibri" w:hAnsi="Calibri" w:eastAsia="宋体" w:cs="Times New Roman"/>
      <w:sz w:val="18"/>
      <w:szCs w:val="18"/>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6956</Words>
  <Characters>7163</Characters>
  <Lines>67</Lines>
  <Paragraphs>18</Paragraphs>
  <TotalTime>1</TotalTime>
  <ScaleCrop>false</ScaleCrop>
  <LinksUpToDate>false</LinksUpToDate>
  <CharactersWithSpaces>7785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2025-03-09T03:17:00Z</dcterms:created>
  <dc:creator>校对-王思棋</dc:creator>
  <cp:lastModifiedBy>丁旭</cp:lastModifiedBy>
  <dcterms:modified xsi:type="dcterms:W3CDTF">2026-03-01T02:05:29Z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eyJoZGlkIjoiMzEwNTM5NzYwMDRjMzkwZTVkZjY2ODkwMGIxNGU0OTUiLCJ1c2VySWQiOiIxMzc3MjE2Mzk3In0=</vt:lpwstr>
  </property>
  <property fmtid="{D5CDD505-2E9C-101B-9397-08002B2CF9AE}" pid="3" name="KSOProductBuildVer">
    <vt:lpwstr>2052-12.1.0.25225</vt:lpwstr>
  </property>
  <property fmtid="{D5CDD505-2E9C-101B-9397-08002B2CF9AE}" pid="4" name="ICV">
    <vt:lpwstr>D1102DE539AA4637B981F6D0A8519E46_12</vt:lpwstr>
  </property>
</Properties>
</file>