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ECB993">
      <w:pPr>
        <w:bidi w:val="0"/>
        <w:jc w:val="center"/>
        <w:rPr>
          <w:rFonts w:hint="eastAsia" w:ascii="宋体" w:hAnsi="宋体" w:eastAsia="宋体" w:cs="宋体"/>
          <w:b/>
          <w:bCs/>
          <w:sz w:val="36"/>
          <w:szCs w:val="40"/>
        </w:rPr>
      </w:pPr>
      <w:r>
        <w:rPr>
          <w:rFonts w:hint="eastAsia" w:ascii="宋体" w:hAnsi="宋体" w:eastAsia="宋体" w:cs="宋体"/>
          <w:b/>
          <w:bCs/>
          <w:sz w:val="36"/>
          <w:szCs w:val="40"/>
        </w:rPr>
        <w:t>202</w:t>
      </w:r>
      <w:r>
        <w:rPr>
          <w:rFonts w:hint="eastAsia" w:ascii="宋体" w:hAnsi="宋体" w:eastAsia="宋体" w:cs="宋体"/>
          <w:b/>
          <w:bCs/>
          <w:sz w:val="36"/>
          <w:szCs w:val="40"/>
          <w:lang w:val="en-US" w:eastAsia="zh-CN"/>
        </w:rPr>
        <w:t>6</w:t>
      </w:r>
      <w:r>
        <w:rPr>
          <w:rFonts w:hint="eastAsia" w:ascii="宋体" w:hAnsi="宋体" w:eastAsia="宋体" w:cs="宋体"/>
          <w:b/>
          <w:bCs/>
          <w:sz w:val="36"/>
          <w:szCs w:val="40"/>
        </w:rPr>
        <w:t>年中粮集团黑吉辽蒙区域汽运物流集采项目</w:t>
      </w:r>
    </w:p>
    <w:p w14:paraId="6020E8B9">
      <w:pPr>
        <w:bidi w:val="0"/>
        <w:jc w:val="center"/>
        <w:rPr>
          <w:rFonts w:hint="eastAsia" w:ascii="宋体" w:hAnsi="宋体" w:eastAsia="宋体" w:cs="宋体"/>
          <w:b/>
          <w:bCs/>
          <w:sz w:val="36"/>
          <w:szCs w:val="40"/>
          <w:lang w:eastAsia="zh-CN"/>
        </w:rPr>
      </w:pPr>
      <w:r>
        <w:rPr>
          <w:rFonts w:hint="eastAsia" w:ascii="宋体" w:hAnsi="宋体" w:eastAsia="宋体" w:cs="宋体"/>
          <w:b/>
          <w:bCs/>
          <w:sz w:val="36"/>
          <w:szCs w:val="40"/>
        </w:rPr>
        <w:t>谈判采购公告</w:t>
      </w:r>
    </w:p>
    <w:p w14:paraId="4512B786">
      <w:pPr>
        <w:wordWrap w:val="0"/>
        <w:adjustRightInd w:val="0"/>
        <w:snapToGrid w:val="0"/>
        <w:spacing w:line="360" w:lineRule="auto"/>
        <w:ind w:firstLine="480" w:firstLineChars="200"/>
        <w:jc w:val="left"/>
        <w:rPr>
          <w:rFonts w:hint="eastAsia" w:ascii="宋体" w:hAnsi="宋体" w:eastAsia="宋体" w:cs="宋体"/>
          <w:color w:val="auto"/>
          <w:sz w:val="24"/>
          <w:szCs w:val="24"/>
          <w:highlight w:val="none"/>
        </w:rPr>
      </w:pPr>
      <w:bookmarkStart w:id="0" w:name="_Toc501460639"/>
      <w:bookmarkStart w:id="1" w:name="OLE_LINK2"/>
      <w:r>
        <w:rPr>
          <w:rFonts w:hint="eastAsia" w:ascii="宋体" w:hAnsi="宋体" w:eastAsia="宋体" w:cs="宋体"/>
          <w:color w:val="auto"/>
          <w:sz w:val="24"/>
          <w:szCs w:val="24"/>
          <w:highlight w:val="none"/>
        </w:rPr>
        <w:t>温馨提示：本项目采用中粮E采供应链采购平台（网址：https://ecai.cofco.com/web-portal/index.html#/home）电子化全流程采购方式，平台操作等指引详见本公告内容。</w:t>
      </w:r>
    </w:p>
    <w:p w14:paraId="5BCCABE2">
      <w:pPr>
        <w:spacing w:line="400" w:lineRule="exact"/>
        <w:ind w:firstLine="480" w:firstLineChars="200"/>
        <w:jc w:val="left"/>
        <w:rPr>
          <w:rFonts w:hint="eastAsia" w:ascii="宋体" w:hAnsi="宋体" w:eastAsia="宋体" w:cs="宋体"/>
          <w:color w:val="auto"/>
          <w:sz w:val="24"/>
          <w:szCs w:val="24"/>
          <w:highlight w:val="none"/>
        </w:rPr>
      </w:pPr>
      <w:bookmarkStart w:id="2" w:name="_Toc501460632"/>
      <w:bookmarkStart w:id="3" w:name="_Toc7673"/>
      <w:r>
        <w:rPr>
          <w:rFonts w:hint="eastAsia" w:ascii="宋体" w:hAnsi="宋体" w:eastAsia="宋体" w:cs="宋体"/>
          <w:color w:val="auto"/>
          <w:sz w:val="24"/>
          <w:szCs w:val="24"/>
          <w:highlight w:val="none"/>
          <w:lang w:bidi="ar"/>
        </w:rPr>
        <w:t>本采购项目为202</w:t>
      </w:r>
      <w:r>
        <w:rPr>
          <w:rFonts w:hint="eastAsia" w:ascii="宋体" w:hAnsi="宋体" w:eastAsia="宋体" w:cs="宋体"/>
          <w:color w:val="auto"/>
          <w:sz w:val="24"/>
          <w:szCs w:val="24"/>
          <w:highlight w:val="none"/>
          <w:lang w:val="en-US" w:eastAsia="zh-CN" w:bidi="ar"/>
        </w:rPr>
        <w:t>6</w:t>
      </w:r>
      <w:r>
        <w:rPr>
          <w:rFonts w:hint="eastAsia" w:ascii="宋体" w:hAnsi="宋体" w:eastAsia="宋体" w:cs="宋体"/>
          <w:color w:val="auto"/>
          <w:sz w:val="24"/>
          <w:szCs w:val="24"/>
          <w:highlight w:val="none"/>
          <w:lang w:bidi="ar"/>
        </w:rPr>
        <w:t>年中粮集团黑吉辽蒙区域汽运物流集采项目，采购人为中粮集团有限公司（授权</w:t>
      </w:r>
      <w:r>
        <w:rPr>
          <w:rFonts w:hint="eastAsia" w:ascii="宋体" w:hAnsi="宋体" w:eastAsia="宋体" w:cs="宋体"/>
          <w:color w:val="auto"/>
          <w:sz w:val="24"/>
          <w:szCs w:val="24"/>
          <w:highlight w:val="none"/>
        </w:rPr>
        <w:t>中粮生物科技股份有限公司</w:t>
      </w:r>
      <w:r>
        <w:rPr>
          <w:rFonts w:hint="eastAsia" w:ascii="宋体" w:hAnsi="宋体" w:eastAsia="宋体" w:cs="宋体"/>
          <w:color w:val="auto"/>
          <w:sz w:val="24"/>
          <w:szCs w:val="24"/>
          <w:highlight w:val="none"/>
          <w:lang w:bidi="ar"/>
        </w:rPr>
        <w:t>牵头）。该项目已具备采购条件，现对</w:t>
      </w:r>
      <w:r>
        <w:rPr>
          <w:rFonts w:hint="eastAsia" w:ascii="宋体" w:hAnsi="宋体" w:eastAsia="宋体" w:cs="宋体"/>
          <w:color w:val="auto"/>
          <w:sz w:val="24"/>
          <w:szCs w:val="24"/>
          <w:highlight w:val="none"/>
          <w:lang w:eastAsia="zh-CN" w:bidi="ar"/>
        </w:rPr>
        <w:t>2026</w:t>
      </w:r>
      <w:r>
        <w:rPr>
          <w:rFonts w:hint="eastAsia" w:ascii="宋体" w:hAnsi="宋体" w:eastAsia="宋体" w:cs="宋体"/>
          <w:color w:val="auto"/>
          <w:sz w:val="24"/>
          <w:szCs w:val="24"/>
          <w:highlight w:val="none"/>
          <w:lang w:bidi="ar"/>
        </w:rPr>
        <w:t>年中粮集团黑吉辽蒙区域汽运物流集采项目以谈判采购方式进行采购，公开邀请供应商参加谈判采购活动。</w:t>
      </w:r>
    </w:p>
    <w:p w14:paraId="0D89806C">
      <w:pPr>
        <w:adjustRightInd w:val="0"/>
        <w:snapToGrid w:val="0"/>
        <w:spacing w:before="120" w:after="120" w:line="400" w:lineRule="exact"/>
        <w:ind w:firstLine="422" w:firstLineChars="150"/>
        <w:rPr>
          <w:rFonts w:hint="eastAsia" w:ascii="宋体" w:hAnsi="宋体" w:eastAsia="宋体" w:cs="宋体"/>
          <w:b/>
          <w:bCs/>
          <w:color w:val="auto"/>
          <w:sz w:val="28"/>
          <w:szCs w:val="32"/>
          <w:highlight w:val="none"/>
        </w:rPr>
      </w:pPr>
      <w:r>
        <w:rPr>
          <w:rFonts w:hint="eastAsia" w:ascii="宋体" w:hAnsi="宋体" w:eastAsia="宋体" w:cs="宋体"/>
          <w:b/>
          <w:bCs/>
          <w:color w:val="auto"/>
          <w:sz w:val="28"/>
          <w:szCs w:val="32"/>
          <w:highlight w:val="none"/>
        </w:rPr>
        <w:t>1. 采购项目简介</w:t>
      </w:r>
      <w:bookmarkEnd w:id="2"/>
      <w:bookmarkEnd w:id="3"/>
    </w:p>
    <w:p w14:paraId="21B5CC50">
      <w:pPr>
        <w:adjustRightInd w:val="0"/>
        <w:snapToGrid w:val="0"/>
        <w:spacing w:line="400" w:lineRule="exact"/>
        <w:ind w:firstLine="480" w:firstLineChars="200"/>
        <w:rPr>
          <w:rFonts w:hint="eastAsia" w:ascii="宋体" w:hAnsi="宋体" w:eastAsia="宋体" w:cs="宋体"/>
          <w:color w:val="auto"/>
          <w:sz w:val="24"/>
          <w:highlight w:val="none"/>
          <w:lang w:bidi="ar"/>
        </w:rPr>
      </w:pPr>
      <w:bookmarkStart w:id="4" w:name="_Toc501460633"/>
      <w:r>
        <w:rPr>
          <w:rFonts w:hint="eastAsia" w:ascii="宋体" w:hAnsi="宋体" w:eastAsia="宋体" w:cs="宋体"/>
          <w:color w:val="auto"/>
          <w:sz w:val="24"/>
          <w:highlight w:val="none"/>
        </w:rPr>
        <w:t>1.1 采购项目名称：</w:t>
      </w:r>
      <w:r>
        <w:rPr>
          <w:rFonts w:hint="eastAsia" w:ascii="宋体" w:hAnsi="宋体" w:eastAsia="宋体" w:cs="宋体"/>
          <w:color w:val="auto"/>
          <w:sz w:val="24"/>
          <w:highlight w:val="none"/>
          <w:lang w:eastAsia="zh-CN" w:bidi="ar"/>
        </w:rPr>
        <w:t>2026</w:t>
      </w:r>
      <w:r>
        <w:rPr>
          <w:rFonts w:hint="eastAsia" w:ascii="宋体" w:hAnsi="宋体" w:eastAsia="宋体" w:cs="宋体"/>
          <w:color w:val="auto"/>
          <w:sz w:val="24"/>
          <w:highlight w:val="none"/>
          <w:lang w:bidi="ar"/>
        </w:rPr>
        <w:t>年中粮集团黑吉辽蒙区域汽运物流集采项目</w:t>
      </w:r>
    </w:p>
    <w:p w14:paraId="5A49D872">
      <w:pPr>
        <w:adjustRightInd w:val="0"/>
        <w:snapToGrid w:val="0"/>
        <w:spacing w:line="400" w:lineRule="exact"/>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1.2 采购项目编号：</w:t>
      </w:r>
      <w:r>
        <w:rPr>
          <w:rFonts w:hint="eastAsia" w:ascii="宋体" w:hAnsi="宋体" w:eastAsia="宋体" w:cs="宋体"/>
          <w:color w:val="auto"/>
          <w:sz w:val="24"/>
          <w:highlight w:val="none"/>
          <w:lang w:eastAsia="zh-CN"/>
        </w:rPr>
        <w:t>GN2026-44-1183</w:t>
      </w:r>
    </w:p>
    <w:p w14:paraId="453C8037">
      <w:pPr>
        <w:adjustRightInd w:val="0"/>
        <w:snapToGrid w:val="0"/>
        <w:spacing w:line="40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 采购人：中粮集团有限公司（授权中粮生物科技股份有限公司牵头）</w:t>
      </w:r>
    </w:p>
    <w:p w14:paraId="3D10A4A1">
      <w:pPr>
        <w:adjustRightInd w:val="0"/>
        <w:snapToGrid w:val="0"/>
        <w:spacing w:line="40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 采购代理机构：安徽省招标集团股份有限公司</w:t>
      </w:r>
    </w:p>
    <w:p w14:paraId="2392C589">
      <w:pPr>
        <w:adjustRightInd w:val="0"/>
        <w:snapToGrid w:val="0"/>
        <w:spacing w:line="400" w:lineRule="exact"/>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1.5 采购项目资金落实情况：自筹资金，出资比例100%，已落实</w:t>
      </w:r>
    </w:p>
    <w:p w14:paraId="6BBBC0DB">
      <w:pPr>
        <w:adjustRightInd w:val="0"/>
        <w:snapToGrid w:val="0"/>
        <w:spacing w:line="40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1.6 采购项目概况：</w:t>
      </w:r>
      <w:r>
        <w:rPr>
          <w:rFonts w:hint="eastAsia" w:ascii="宋体" w:hAnsi="宋体" w:eastAsia="宋体" w:cs="宋体"/>
          <w:color w:val="auto"/>
          <w:sz w:val="24"/>
          <w:highlight w:val="none"/>
          <w:lang w:eastAsia="zh-CN"/>
        </w:rPr>
        <w:t>2026</w:t>
      </w:r>
      <w:r>
        <w:rPr>
          <w:rFonts w:hint="eastAsia" w:ascii="宋体" w:hAnsi="宋体" w:eastAsia="宋体" w:cs="宋体"/>
          <w:color w:val="auto"/>
          <w:sz w:val="24"/>
          <w:highlight w:val="none"/>
        </w:rPr>
        <w:t>年中粮集团黑吉辽蒙区域汽运物流集采项目，覆盖中粮可口可乐、中粮家佳康、中粮我买网、中粮贸易、中粮油脂、中粮粮谷、中粮糖业、中粮生物科技共</w:t>
      </w:r>
      <w:r>
        <w:rPr>
          <w:rFonts w:hint="eastAsia" w:ascii="宋体" w:hAnsi="宋体" w:eastAsia="宋体" w:cs="宋体"/>
          <w:color w:val="auto"/>
          <w:sz w:val="24"/>
          <w:highlight w:val="none"/>
          <w:lang w:val="en-US" w:eastAsia="zh-CN"/>
        </w:rPr>
        <w:t>8</w:t>
      </w:r>
      <w:r>
        <w:rPr>
          <w:rFonts w:hint="eastAsia" w:ascii="宋体" w:hAnsi="宋体" w:eastAsia="宋体" w:cs="宋体"/>
          <w:color w:val="auto"/>
          <w:sz w:val="24"/>
          <w:highlight w:val="none"/>
        </w:rPr>
        <w:t>家专业化公司的下属</w:t>
      </w:r>
      <w:r>
        <w:rPr>
          <w:rFonts w:hint="eastAsia" w:ascii="宋体" w:hAnsi="宋体" w:eastAsia="宋体" w:cs="宋体"/>
          <w:color w:val="auto"/>
          <w:sz w:val="24"/>
          <w:highlight w:val="none"/>
          <w:lang w:val="en-US" w:eastAsia="zh-CN"/>
        </w:rPr>
        <w:t>47</w:t>
      </w:r>
      <w:r>
        <w:rPr>
          <w:rFonts w:hint="eastAsia" w:ascii="宋体" w:hAnsi="宋体" w:eastAsia="宋体" w:cs="宋体"/>
          <w:color w:val="auto"/>
          <w:sz w:val="24"/>
          <w:highlight w:val="none"/>
        </w:rPr>
        <w:t>个利润点执行单位，为其提供干支线汽运物流服务及其他相关物流服务，汽运集采总体运量预计为</w:t>
      </w:r>
      <w:r>
        <w:rPr>
          <w:rFonts w:hint="eastAsia" w:ascii="宋体" w:hAnsi="宋体" w:eastAsia="宋体" w:cs="宋体"/>
          <w:color w:val="auto"/>
          <w:sz w:val="24"/>
          <w:highlight w:val="none"/>
          <w:lang w:val="en-US" w:eastAsia="zh-CN"/>
        </w:rPr>
        <w:t>519万</w:t>
      </w:r>
      <w:r>
        <w:rPr>
          <w:rFonts w:hint="eastAsia" w:ascii="宋体" w:hAnsi="宋体" w:eastAsia="宋体" w:cs="宋体"/>
          <w:color w:val="auto"/>
          <w:sz w:val="24"/>
          <w:highlight w:val="none"/>
        </w:rPr>
        <w:t>吨，集采运费金额预计为</w:t>
      </w:r>
      <w:r>
        <w:rPr>
          <w:rFonts w:hint="eastAsia" w:ascii="宋体" w:hAnsi="宋体" w:eastAsia="宋体" w:cs="宋体"/>
          <w:color w:val="auto"/>
          <w:sz w:val="24"/>
          <w:highlight w:val="none"/>
          <w:lang w:val="en-US" w:eastAsia="zh-CN"/>
        </w:rPr>
        <w:t>41624</w:t>
      </w:r>
      <w:r>
        <w:rPr>
          <w:rFonts w:hint="eastAsia" w:ascii="宋体" w:hAnsi="宋体" w:eastAsia="宋体" w:cs="宋体"/>
          <w:color w:val="auto"/>
          <w:sz w:val="24"/>
          <w:highlight w:val="none"/>
        </w:rPr>
        <w:t>万元，具体详见采购文件。</w:t>
      </w:r>
    </w:p>
    <w:p w14:paraId="7A3AAE20">
      <w:pPr>
        <w:adjustRightInd w:val="0"/>
        <w:snapToGrid w:val="0"/>
        <w:spacing w:line="40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（1）没有特殊要求的包件，每个采购包成交一家供应商，根据</w:t>
      </w:r>
      <w:r>
        <w:rPr>
          <w:rFonts w:hint="eastAsia" w:ascii="宋体" w:hAnsi="宋体" w:eastAsia="宋体" w:cs="宋体"/>
          <w:color w:val="auto"/>
          <w:sz w:val="24"/>
          <w:highlight w:val="none"/>
          <w:lang w:val="en-US" w:eastAsia="zh-CN"/>
        </w:rPr>
        <w:t>对应采购包的</w:t>
      </w:r>
      <w:r>
        <w:rPr>
          <w:rFonts w:hint="eastAsia" w:ascii="宋体" w:hAnsi="宋体" w:eastAsia="宋体" w:cs="宋体"/>
          <w:color w:val="auto"/>
          <w:sz w:val="24"/>
          <w:highlight w:val="none"/>
        </w:rPr>
        <w:t>评审办法评审</w:t>
      </w:r>
      <w:r>
        <w:rPr>
          <w:rFonts w:hint="eastAsia" w:ascii="宋体" w:hAnsi="宋体" w:eastAsia="宋体" w:cs="宋体"/>
          <w:color w:val="auto"/>
          <w:sz w:val="24"/>
          <w:highlight w:val="none"/>
          <w:lang w:val="en-US" w:eastAsia="zh-CN"/>
        </w:rPr>
        <w:t>排名第二</w:t>
      </w:r>
      <w:r>
        <w:rPr>
          <w:rFonts w:hint="eastAsia" w:ascii="宋体" w:hAnsi="宋体" w:eastAsia="宋体" w:cs="宋体"/>
          <w:color w:val="auto"/>
          <w:sz w:val="24"/>
          <w:highlight w:val="none"/>
        </w:rPr>
        <w:t>的未成交供应商将作为备选供应商</w:t>
      </w:r>
      <w:r>
        <w:rPr>
          <w:rFonts w:hint="eastAsia" w:ascii="宋体" w:hAnsi="宋体" w:eastAsia="宋体" w:cs="宋体"/>
          <w:color w:val="auto"/>
          <w:sz w:val="24"/>
          <w:highlight w:val="none"/>
          <w:lang w:eastAsia="zh-CN"/>
        </w:rPr>
        <w:t>。在项目实施过程中，若</w:t>
      </w:r>
      <w:r>
        <w:rPr>
          <w:rFonts w:hint="eastAsia" w:ascii="宋体" w:hAnsi="宋体" w:eastAsia="宋体" w:cs="宋体"/>
          <w:color w:val="auto"/>
          <w:sz w:val="24"/>
          <w:highlight w:val="none"/>
        </w:rPr>
        <w:t>成交供应商未能履约的情况下，</w:t>
      </w:r>
      <w:r>
        <w:rPr>
          <w:rFonts w:hint="eastAsia" w:ascii="宋体" w:hAnsi="宋体" w:eastAsia="宋体" w:cs="宋体"/>
          <w:color w:val="auto"/>
          <w:sz w:val="24"/>
          <w:highlight w:val="none"/>
          <w:lang w:val="en-US" w:eastAsia="zh-CN"/>
        </w:rPr>
        <w:t>由</w:t>
      </w:r>
      <w:r>
        <w:rPr>
          <w:rFonts w:hint="eastAsia" w:ascii="宋体" w:hAnsi="宋体" w:eastAsia="宋体" w:cs="宋体"/>
          <w:color w:val="auto"/>
          <w:sz w:val="24"/>
          <w:highlight w:val="none"/>
        </w:rPr>
        <w:t>备选供应商替补</w:t>
      </w:r>
      <w:r>
        <w:rPr>
          <w:rFonts w:hint="eastAsia" w:ascii="宋体" w:hAnsi="宋体" w:eastAsia="宋体" w:cs="宋体"/>
          <w:color w:val="auto"/>
          <w:sz w:val="24"/>
          <w:highlight w:val="none"/>
          <w:lang w:val="en-US" w:eastAsia="zh-CN"/>
        </w:rPr>
        <w:t>进行服务</w:t>
      </w:r>
      <w:r>
        <w:rPr>
          <w:rFonts w:hint="eastAsia" w:ascii="宋体" w:hAnsi="宋体" w:eastAsia="宋体" w:cs="宋体"/>
          <w:color w:val="auto"/>
          <w:sz w:val="24"/>
          <w:highlight w:val="none"/>
        </w:rPr>
        <w:t>。</w:t>
      </w:r>
    </w:p>
    <w:p w14:paraId="74663244">
      <w:pPr>
        <w:adjustRightInd w:val="0"/>
        <w:snapToGrid w:val="0"/>
        <w:spacing w:line="400" w:lineRule="exact"/>
        <w:ind w:firstLine="480" w:firstLineChars="200"/>
        <w:rPr>
          <w:rFonts w:hint="eastAsia" w:ascii="宋体" w:hAnsi="宋体" w:eastAsia="宋体" w:cs="宋体"/>
          <w:color w:val="auto"/>
          <w:sz w:val="32"/>
          <w:highlight w:val="none"/>
        </w:rPr>
      </w:pPr>
      <w:r>
        <w:rPr>
          <w:rFonts w:hint="eastAsia" w:ascii="宋体" w:hAnsi="宋体" w:eastAsia="宋体" w:cs="宋体"/>
          <w:color w:val="auto"/>
          <w:sz w:val="24"/>
          <w:highlight w:val="none"/>
        </w:rPr>
        <w:t>（2）特殊包件要求：详见各包采购需求及报价表。</w:t>
      </w:r>
    </w:p>
    <w:bookmarkEnd w:id="4"/>
    <w:p w14:paraId="42943FBC">
      <w:pPr>
        <w:adjustRightInd w:val="0"/>
        <w:snapToGrid w:val="0"/>
        <w:spacing w:before="120" w:after="120" w:line="400" w:lineRule="exact"/>
        <w:ind w:firstLine="422" w:firstLineChars="150"/>
        <w:rPr>
          <w:rFonts w:hint="eastAsia" w:ascii="宋体" w:hAnsi="宋体" w:eastAsia="宋体" w:cs="宋体"/>
          <w:b/>
          <w:bCs/>
          <w:color w:val="auto"/>
          <w:sz w:val="28"/>
          <w:szCs w:val="32"/>
          <w:highlight w:val="none"/>
        </w:rPr>
      </w:pPr>
      <w:bookmarkStart w:id="5" w:name="_Toc26969"/>
      <w:r>
        <w:rPr>
          <w:rFonts w:hint="eastAsia" w:ascii="宋体" w:hAnsi="宋体" w:eastAsia="宋体" w:cs="宋体"/>
          <w:b/>
          <w:bCs/>
          <w:color w:val="auto"/>
          <w:sz w:val="28"/>
          <w:szCs w:val="32"/>
          <w:highlight w:val="none"/>
        </w:rPr>
        <w:t>2. 采购范围及相关要求</w:t>
      </w:r>
      <w:bookmarkEnd w:id="5"/>
    </w:p>
    <w:p w14:paraId="4ECCFD38">
      <w:pPr>
        <w:spacing w:line="40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 采购范围：</w:t>
      </w:r>
    </w:p>
    <w:tbl>
      <w:tblPr>
        <w:tblStyle w:val="3"/>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97"/>
        <w:gridCol w:w="641"/>
        <w:gridCol w:w="1382"/>
        <w:gridCol w:w="1236"/>
        <w:gridCol w:w="831"/>
        <w:gridCol w:w="990"/>
        <w:gridCol w:w="1117"/>
        <w:gridCol w:w="839"/>
        <w:gridCol w:w="884"/>
      </w:tblGrid>
      <w:tr w14:paraId="05FC4C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8" w:hRule="atLeast"/>
          <w:tblHeader/>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34C88D6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采购包号</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230AAB3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专业化公司</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3EDCE31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采购包名称</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5DB0FB8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主要涉及工厂</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3F4572D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主要运输产品</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27FC090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主要需求车型</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01344D0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预计服务周期</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5A7CC5A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预计规模（吨）</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5CDF70F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预计成交供应商数量（家）</w:t>
            </w:r>
          </w:p>
        </w:tc>
      </w:tr>
      <w:tr w14:paraId="02191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365F6B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01</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6642CC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中粮可口可乐</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2AB14E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包01中粮可口可乐（2026黑吉辽蒙）沈阳至大连转仓、沈阳至大连销区直发</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0CB58A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中粮可口可乐辽宁（南）饮料有限公司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47B8FE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空托盘、饮料及相关产品</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18C5DA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平板车（13.5米及以上）</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6D5945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2026年6月1日-2028年5月31日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2C98DD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116400.00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696D72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28C723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30BE5B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02</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5CEDB2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中粮可口可乐</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6B1622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包02中粮可口可乐（2026黑吉辽蒙）沈阳、营口间运输、运输测试</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4CC09A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中粮可口可乐辽宁（南）饮料有限公司、中粮可口可乐辽宁（北）饮料有限公司、中粮可口可乐辽宁（中）饮料有限公司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062561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饮料及相关产品</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429916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平板车（13.5米及以上）</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124F62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2026年6月1日-2028年5月31日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5B30DC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192051.00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0655B5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7D9495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55BE61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03</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279CCB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中粮可口可乐</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467228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包03中粮可口可乐（2026黑吉辽蒙）沈阳至外贸出口客户</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5ADE56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中粮可口可乐辽宁（北）饮料有限公司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786671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饮料及相关产品</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021CE6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平板车（13.5米及以上）</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5AD23F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2026年6月1日-2028年5月31日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722987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52469.00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044167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2E504B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4DEAA7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435E07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中粮可口可乐</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745BCB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包04中粮可口可乐（2026黑吉辽蒙）沈阳、营口至铁岭</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3C7E75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中粮可口可乐辽宁（北）饮料有限公司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20667C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饮料及相关产品</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4EE233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平板车（13.5米及以上）</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55A068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2026年6月1日-2028年5月31日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4AE85A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101418.90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496F85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6CB43B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388638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05</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28E2B5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中粮可口可乐</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2D2751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包05中粮可口可乐（2026黑吉辽蒙）沈阳厂至路凯托盘库</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340334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中粮可口可乐辽宁（北）饮料有限公司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068A31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托盘</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2FD07B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平板车（13.5米及以上）</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6D63CD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2026年6月1日-2028年5月31日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6358F1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1100.00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179F30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1739B2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249514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06</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200497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中粮可口可乐</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5AB0EA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包06中粮可口可乐（2026黑吉辽蒙）沈阳至外贸出口客户-公铁联运</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11D96E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中粮可口可乐辽宁（南）饮料有限公司、中粮可口可乐辽宁（北）饮料有限公司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0EF3B8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饮料及相关产品</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6928E3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平板车（13.5米及以上）、铁路厢车</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68715E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2026年6月1日-2028年5月31日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01BAC1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1400.00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2BAF11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7ABFF4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4F9904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07</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2C6E4F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中粮可口可乐</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346B27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包07中粮可口可乐（2026黑吉辽蒙）沈阳厂发出</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575996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中粮可口可乐饮料（山西）有限公司、中粮可口可乐饮料（济南）有限公司、中粮可口可乐饮料（山东）有限公司、中粮可口可乐饮料（华中）有限公司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700EDF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饮料及相关产品</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248941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半挂车型（13.5米及以上）、13.5米以上大板、侧帘</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7D4B97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2026年6月1日-2027年5月31日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2B6BBE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2222.93</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150A18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1BA2CC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2C69E5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08</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78FD33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中粮可口可乐</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568C5F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包08中粮可口可乐（2026黑吉辽蒙）沈阳至高铁车站直发客户</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62C2B0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中粮可口可乐辽宁（北）饮料有限公司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3DAD2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饮料及相关产品</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72D6A9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厢式货车（4.2米,9.6米）</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20BF5B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2026年6月1日-2028年5月31日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0D2BA3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797.18</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716FFA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20C424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539379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09</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0BA244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中粮可口可乐</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293593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包09中粮可口可乐（2026黑吉辽蒙）吉林长春直发内蒙乌兰浩特区</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47F4EC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中粮可口可乐饮料（吉林）有限公司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70FB3B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饮料、市场用品和冷饮设备等</w:t>
            </w:r>
          </w:p>
        </w:tc>
        <w:tc>
          <w:tcPr>
            <w:tcW w:w="1029" w:type="dxa"/>
            <w:tcBorders>
              <w:top w:val="single" w:color="000000" w:sz="4" w:space="0"/>
              <w:left w:val="single" w:color="000000" w:sz="4" w:space="0"/>
              <w:bottom w:val="single" w:color="000000" w:sz="4" w:space="0"/>
              <w:right w:val="single" w:color="000000" w:sz="4" w:space="0"/>
            </w:tcBorders>
            <w:noWrap w:val="0"/>
            <w:vAlign w:val="center"/>
          </w:tcPr>
          <w:p w14:paraId="495887B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高栏车,平板车（4.2米,13.5米及以上,9.6 米）</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41120B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2026年6月1日-2028年3月31日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4298A4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19930.75</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785F0E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42BB02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1F1F54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0A9B68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中粮可口可乐</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6AD462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包10中粮可口可乐（2026黑吉辽蒙）营口发出</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0D7548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中粮可口可乐辽宁（中）饮料有限公司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0CD0D9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饮料、市场用品和冷饮设备及相关产品</w:t>
            </w:r>
          </w:p>
        </w:tc>
        <w:tc>
          <w:tcPr>
            <w:tcW w:w="1029" w:type="dxa"/>
            <w:tcBorders>
              <w:top w:val="single" w:color="000000" w:sz="4" w:space="0"/>
              <w:left w:val="single" w:color="000000" w:sz="4" w:space="0"/>
              <w:bottom w:val="single" w:color="000000" w:sz="4" w:space="0"/>
              <w:right w:val="single" w:color="000000" w:sz="4" w:space="0"/>
            </w:tcBorders>
            <w:noWrap w:val="0"/>
            <w:vAlign w:val="center"/>
          </w:tcPr>
          <w:p w14:paraId="0E032EA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高栏车,平板车（13.5米及以上），大板、侧帘（13.5米及以上）</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0C0439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2026年6月1日-2028年5月31日，2026年6月1日-2027年5月31日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4397D4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2900.00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152EDE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515575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779E65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11</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6430DB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中粮家佳康</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2AB593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包11中粮家佳康（2026黑吉辽蒙）吉林公司生鲜肉长途运输（冷藏、冷冻）</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741547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中粮家佳康（吉林）有限公司长岭分公司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32326E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冷链生鲜肉</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15F708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冷藏车、冷冻车</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098A18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2026年6月1日-2028年5月31日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759FC2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22000.00</w:t>
            </w:r>
          </w:p>
        </w:tc>
        <w:tc>
          <w:tcPr>
            <w:tcW w:w="519" w:type="pct"/>
            <w:tcBorders>
              <w:top w:val="single" w:color="000000" w:sz="4" w:space="0"/>
              <w:left w:val="single" w:color="000000" w:sz="4" w:space="0"/>
              <w:bottom w:val="nil"/>
              <w:right w:val="single" w:color="000000" w:sz="4" w:space="0"/>
            </w:tcBorders>
            <w:noWrap w:val="0"/>
            <w:vAlign w:val="center"/>
          </w:tcPr>
          <w:p w14:paraId="3FC731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进入第二轮的供应商大于3家时成交3家，等于3家时成交2家，等于2家时成交1家</w:t>
            </w:r>
          </w:p>
        </w:tc>
      </w:tr>
      <w:tr w14:paraId="1AF560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428F82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12</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7BB159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中粮家佳康</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5B100E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包12中粮家佳康（2026黑吉辽蒙）吉林公司生鲜肉短途运输（冷藏、冷冻）</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40E26B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中粮家佳康（吉林）有限公司长岭分公司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5A4F7D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冷链生鲜肉</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50D0B6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冷藏车、冷冻车</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60CDE2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2026年6月1日-2028年5月31日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6BD456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13000.00</w:t>
            </w:r>
          </w:p>
        </w:tc>
        <w:tc>
          <w:tcPr>
            <w:tcW w:w="519" w:type="pct"/>
            <w:tcBorders>
              <w:top w:val="single" w:color="000000" w:sz="4" w:space="0"/>
              <w:left w:val="single" w:color="000000" w:sz="4" w:space="0"/>
              <w:bottom w:val="nil"/>
              <w:right w:val="single" w:color="000000" w:sz="4" w:space="0"/>
            </w:tcBorders>
            <w:noWrap w:val="0"/>
            <w:vAlign w:val="center"/>
          </w:tcPr>
          <w:p w14:paraId="4E2ADD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进入第二轮的供应商大于3家时成交3家，等于3家时成交2家，等于2家时成交1家</w:t>
            </w:r>
          </w:p>
        </w:tc>
      </w:tr>
      <w:tr w14:paraId="608917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4B6C0B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13</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49265C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中粮家佳康</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1906D1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包13中粮家佳康（2026黑吉辽蒙）吉林公司生鲜肉固定城市配送</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4A28C1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中粮家佳康（吉林）有限公司长岭分公司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24F386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冷链生鲜肉</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66F02A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冷藏车</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75913D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2026年6月1日-2028年5月31日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1237C7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42000.00</w:t>
            </w:r>
          </w:p>
        </w:tc>
        <w:tc>
          <w:tcPr>
            <w:tcW w:w="519" w:type="pct"/>
            <w:tcBorders>
              <w:top w:val="single" w:color="000000" w:sz="4" w:space="0"/>
              <w:left w:val="single" w:color="000000" w:sz="4" w:space="0"/>
              <w:bottom w:val="nil"/>
              <w:right w:val="single" w:color="000000" w:sz="4" w:space="0"/>
            </w:tcBorders>
            <w:noWrap w:val="0"/>
            <w:vAlign w:val="center"/>
          </w:tcPr>
          <w:p w14:paraId="42A554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进入第二轮的供应商大于3家时成交3家，等于3家时成交2家，等于2家时成交1家</w:t>
            </w:r>
          </w:p>
        </w:tc>
      </w:tr>
      <w:tr w14:paraId="40E0D7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7ABC48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14</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03EBB6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中粮家佳康</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787008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包14中粮家佳康（2026黑吉辽蒙）集采部大连豆粕到吉林饲料厂</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22341C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中粮家佳康（吉林）有限公司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1D93C9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饲料原料（豆粕、发酵豆粕）</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7B60CD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高栏车为主，少量平板车</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4531B1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2026年5月1日-2027年4月30日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74E9D7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45000.00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51B56D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3C47BD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6EF463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15</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1B37F3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中粮家佳康</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0EE603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包15中粮家佳康（2026黑吉辽蒙）集采部营口港豆粕到吉林饲料厂</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24278C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中粮家佳康（吉林）有限公司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47CB89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饲料原料（豆粕、发酵豆粕）</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732F75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高栏车为主，少量平板车</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2F7D1F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2026年5月1日-2027年4月30日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0B344B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10000.00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43F237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5B7DE5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6324FD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16</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67B549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中粮家佳康</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671D4C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包16中粮家佳康（2026黑吉辽蒙）集采部各类副产品到吉林饲料厂</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4E7E60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中粮家佳康（吉林）有限公司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2E1002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饲料原料（大米副产品、小麦副产品、玉米副产品等）</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744AE3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高栏车为主，少量平板车</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738ADC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2026年5月1日-2027年4月30日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2A40DE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14100.00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135672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6E27AF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19A590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17</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52FDB8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中粮家佳康</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3F25D3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包17中粮家佳康（2026黑吉辽蒙）赤峰放养饲料罐车物流</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463987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中粮家佳康（赤峰）有限公司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322F3F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成品饲料</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1C60CD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饲料罐车</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1DCE80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2026年6月1日-2028年5月31日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182CB9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380000.00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121940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成交2家+备选1家</w:t>
            </w:r>
          </w:p>
        </w:tc>
      </w:tr>
      <w:tr w14:paraId="2E1C59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740311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18</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09FEC2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中粮家佳康</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2E087C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包18中粮家佳康（2026黑吉辽蒙）赤峰自养饲料罐车物流</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0FE56B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中粮家佳康（赤峰）有限公司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6D0DAD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成品饲料</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384A3B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饲料罐车</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6BBA7B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2026年6月1日-2028年5月31日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388E20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540000.00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6F63B4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成交2家+备选1家</w:t>
            </w:r>
          </w:p>
        </w:tc>
      </w:tr>
      <w:tr w14:paraId="1E821F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10621A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19</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07EDC6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中粮家佳康</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3042AF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包19中粮家佳康（2026黑吉辽蒙）赤峰自养饲料挂车物流</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1CDD4C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中粮家佳康（赤峰）有限公司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1BE152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成品饲料</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03CABE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饲料挂车</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217874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2026年6月1日-2028年5月31日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49D6CC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360000.00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637247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成交2家+备选1家</w:t>
            </w:r>
          </w:p>
        </w:tc>
      </w:tr>
      <w:tr w14:paraId="361307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3D9B38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290A0B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中粮家佳康</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1E5638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包20中粮家佳康（2026黑吉辽蒙）吉林自养饲料罐车物流</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773882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中粮家佳康（吉林）有限公司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5A42E9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成品饲料</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676E9F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饲料罐车</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08BB5E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2026年6月1日-2028年5月31日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3B5650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80000.00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41C8E8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w:t>
            </w:r>
          </w:p>
        </w:tc>
      </w:tr>
      <w:tr w14:paraId="645443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0EF405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21</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0F0747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中粮家佳康</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72880B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包21中粮家佳康（2026黑吉辽蒙）吉林放养饲料罐车物流</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6803D9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中粮家佳康（吉林）有限公司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6457D2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成品饲料</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2ABA4A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饲料罐车</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60B7C7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2026年6月1日-2028年5月31日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17E1CB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495000.00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14D3B3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w:t>
            </w:r>
          </w:p>
        </w:tc>
      </w:tr>
      <w:tr w14:paraId="114891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0D7F24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22</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5D9C1F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中粮家佳康</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06F381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包22中粮家佳康（2026黑吉辽蒙）吉林自养饲料挂车物流</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388F53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中粮家佳康（吉林）有限公司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6A88A2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成品饲料</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3E1520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饲料挂车</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39CB95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2026年6月1日-2028年5月31日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41F61B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1270000.00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54C0C1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w:t>
            </w:r>
          </w:p>
        </w:tc>
      </w:tr>
      <w:tr w14:paraId="558E67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0C5019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23</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15C944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中粮家佳康</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0FB371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包23中粮家佳康（2026黑吉辽蒙）吉林放养饲料挂车物流</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158ABE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中粮家佳康（吉林）有限公司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0DBA69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成品饲料</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47CAF6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饲料挂车</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16B5BC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2026年6月1日-2028年5月31日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4B41F0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8000.00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4A048E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w:t>
            </w:r>
          </w:p>
        </w:tc>
      </w:tr>
      <w:tr w14:paraId="33E1B6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04FB6B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24</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7A5A8E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中粮家佳康</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322830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包24中粮家佳康（2026黑吉辽蒙）洮南饲料挂车物流</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2BEDC4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中粮家佳康（洮南）有限公司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3110E9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成品饲料</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242284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饲料挂车</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5C683D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2026年6月1日-2028年5月31日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6F37B9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120000.00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3B3945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783A28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46926D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25</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79E2FA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中粮家佳康</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21F73C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包25中粮家佳康（2026黑吉辽蒙）洮南新能源饲料挂车物流</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54F3AA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中粮家佳康（洮南）有限公司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1FEFE7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成品饲料</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1311AD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新能源饲料挂车</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72CA2B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2026年6月1日-2028年5月31日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3D5557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120000.00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26F3CF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4E0B86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505263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26</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1A9A59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中粮家佳康</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30C9FB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包26中粮家佳康（2026黑吉辽蒙）吉林牲猪高栏车物流</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7A88B0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中粮家佳康（吉林）有限公司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5810C8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出栏牲猪</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5BCDA7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高栏车</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6714EF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2026年6月1日-2028年5月31日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54D997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5400.00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5B7AA0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15CCF3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79865C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27</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352D24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中粮家佳康</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769F2D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包27中粮家佳康（2026黑吉辽蒙）随州牲猪高栏车物流</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477FEB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中粮家佳康（随州）有限公司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44CD8A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出栏牲猪</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36AEF2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高栏车</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195FF1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2026年6月1日-2028年5月31日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3F270B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3800.00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12E4D4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6584FF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426353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28</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65AAC5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中粮家佳康</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19A9F6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包28中粮家佳康（2026黑吉辽蒙）洮南牲猪高栏车物流</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58CA21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中粮家佳康（洮南）有限公司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120781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出栏牲猪</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10367B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高栏车</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290A1D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2026年6月1日-2028年5月31日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2B170B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1500.00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05EA32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02D63F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2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2C0683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29</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5598DC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中粮家佳康</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1AA926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包29中粮家佳康（2026黑吉辽蒙）养殖部全封闭猪车2-3-4层-恒温</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0FA587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武汉中粮肉食品有限公司；2.中粮家佳康（江苏）有限公司东台分公司；3.中粮家佳康（盐城）有限公司；4.中粮家佳康（吉林）有限公司；5.中粮家佳康（赤峰）有限公司；6.中粮家佳康（张北）有限公司；7.中粮家佳康（河南）有限公司；8.中粮家佳康（遵化）有限公司；9.江苏中稳农业发展有限公司；10.中粮家佳康（随州）有限公司；11.中粮家佳康（洮南）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7B28C6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种猪调运</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27DB33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全封闭猪车2/3/4层-恒温</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56A9EC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2026年6月1日-2028年5月31日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72CE43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5000.00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049EF7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w:t>
            </w:r>
          </w:p>
        </w:tc>
      </w:tr>
      <w:tr w14:paraId="0CE5C3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2589F7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30</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77B664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中粮我买网</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6DE3A0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包30中粮我买网（2026黑吉辽蒙）五常始发全国零担整车</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213D3D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五常沿河工厂/黑龙江康普工厂</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624CD5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大米等</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201CC2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高栏车,平板车，箱式货车</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08C981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2026年5月1日-2027年4月30日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3190AD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3276.28</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3FD320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成交1家+备选1家</w:t>
            </w:r>
          </w:p>
        </w:tc>
      </w:tr>
      <w:tr w14:paraId="633451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6EC452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31</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46637D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中粮我买网</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1576EA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包31中粮我买网（2026黑吉辽蒙）辽阳始发全国零担整车</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6B54DD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辽阳三禾工厂</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64570E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大米、杂粮、燕麦等</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782A76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高栏车,平板车，箱式货车</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5B2F5E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2026年5月1日-2027年4月30日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2FF797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5604.11</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5A5B3E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成交1家+备选1家</w:t>
            </w:r>
          </w:p>
        </w:tc>
      </w:tr>
      <w:tr w14:paraId="78A3A7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022A3F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32</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0E841B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中粮贸易</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269F65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包32中粮贸易（2026黑吉辽蒙）长春正大</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66A1F9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中粮贸易长春有限公司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515CAA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国产玉米</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2894D9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自卸车、高栏车（带流口），挂车（带流口）</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2841F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2026年5月1日-2026年9月30日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195A44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5000.00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470EB2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3CA948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3D1D09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33</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16D60E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中粮贸易</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489486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包33中粮贸易（2026黑吉辽蒙）榆树正大</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789CBB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中粮贸易榆树粮食储运有限公司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2FE552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国产玉米</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564F6C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自卸车、高栏车（带流口），挂车（带流口）</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73A84A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2026年5月1日-2026年9月30日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019BF7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5000.00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50BE72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697DB6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25E769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34</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289011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中粮贸易</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779C74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包34中粮贸易（2026黑吉辽蒙）吉林梅花</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276E44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中粮贸易白城有限公司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4057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国产玉米</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502A0E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自卸车，高栏车（带流口），挂车（带流口）</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3DF217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2026年5月1日-2026年9月30日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1E8401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5000.00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0BA8F0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75818E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4B18B6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35</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666F90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中粮贸易</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59D8B5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包35中粮贸易（2026黑吉辽蒙）前郭牧原饲料厂</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7C12ED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中粮贸易松原粮食储运有限公司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63822F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国产玉米</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5DADB6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自卸车，高栏车（带流口），挂车（带流口）</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2D7B7F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2026年5月1日-2026年9月30日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20FADA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3000.00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14BBE9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010543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7FB9B1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36</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156EE9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中粮贸易</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391CDC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包36中粮贸易（2026黑吉辽蒙）吉林通榆牧原农牧有限公司</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0B71AC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中粮贸易通榆粮食储运有限公司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3BA047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国产玉米</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3F98A2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自卸车，高栏车（带流口），挂车（带流口）</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377730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2026年5月1日-2026年9月30日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05998C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3000.00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0A8EE6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4438F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391E7E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37</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5C51EC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中粮贸易</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0BC3D2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包37中粮贸易（2026黑吉辽蒙）大安牧原饲料厂</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29356F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中粮贸易大安粮食储运有限公司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1B53AC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国产玉米</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010CF3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自卸车，高栏车（带流口），挂车（带流口）</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25862D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2026年5月1日-2026年9月30日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435001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3000.00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2BE188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217BA3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4DB47D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38</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0153C7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中粮贸易</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3E1B4B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包38中粮贸易（2026黑吉辽蒙）中粮家佳康(吉林)有限公司</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4648C2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中粮贸易长岭粮食储运有限公司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7AAF14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国产玉米</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2D11D4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自卸车，高栏车（带流口），挂车（带流口）</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20255F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2026年5月1日-2026年9月30日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7CCF77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5000.00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7E6923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4E3B34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5C8A9D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39</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666E90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中粮贸易</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7243B5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包39中粮贸易（2026黑吉辽蒙）大庆伊品</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0133FE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中粮贸易（大庆）粮食储运有限公司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2F4773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国产玉米</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535B39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高栏车（带流口），挂车（带流口）</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43D276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2026年5月1日-2026年9月30日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7861DB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6000.00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248EAB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43642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56311B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40</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278F17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中粮贸易</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54173C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包40中粮贸易（2026黑吉辽蒙）大庆伊品、兰西安佑、肇东市生化</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0B615D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中粮贸易（肇东）粮食储运有限公司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13D712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国产玉米</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1C6119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高栏车（带流口），挂车（带流口）</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2723AB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2026年5月1日-2026年9月30日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06A815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37500.00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3C927F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3B2769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37D404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41</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5919BB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中粮贸易</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1FF219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包41中粮贸易（2026黑吉辽蒙）呼兰正大、宾西正大</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4ED984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中粮贸易（哈尔滨）康金粮食储运有限公司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608BC0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国产玉米</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390A19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高栏车（带流口），挂车（带流口）</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5DF017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2026年5月1日-2026年9月30日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6418BF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20000.00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33FDD0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39EE37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40A7AB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42</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0A34D2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中粮贸易</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7DE29A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包42中粮贸易（2026黑吉辽蒙）黑龙江鸿展生物科技有限公司</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5A3B56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中粮贸易（克山）粮食储运有限公司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317017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国产玉米</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43A975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高栏车（带流口），挂车（带流口）</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0ADA9E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2026年5月1日-2026年9月30日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0BE6EF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40000.00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587772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6CAA10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2B648E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43</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22D3DC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中粮贸易</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1602AD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包43中粮贸易（2026黑吉辽蒙）东北阜丰生物科技有限公司</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748389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中粮贸易粮食储运（呼伦贝尔）有限公司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18A553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国产玉米</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2FD561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高栏车（带流口），挂车（带流口）</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6C17E3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2026年5月1日-2026年9月30日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4D5DD3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10000.00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3A7292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172C3D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790013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44</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7C0AB9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中粮贸易</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2CC9AF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包44中粮贸易（2026黑吉辽蒙）龙江阜丰生物科技有限公司</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581FD2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中粮贸易（克东）粮食储运有限公司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1705BF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国产玉米</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75D9A2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高栏车（带流口），挂车（带流口）</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4EE0A9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2026年5月1日-2026年9月30日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4F1854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10000.00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02A25D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6E4A88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438184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45</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5E48AC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中粮贸易</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073261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包45中粮贸易（2026黑吉辽蒙）中粮生化能源（龙江）有限公司</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495805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中粮贸易粮食储运（呼伦贝尔）有限公司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761E89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国产玉米</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2D9A89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高栏车（带流口），挂车（带流口）</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71FCD8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2026年5月1日-2026年9月30日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6DF031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10000.00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746C7F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5DBD28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1E8B4D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46</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2FB7C7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中粮贸易</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730F65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包46中粮贸易（2026黑吉辽蒙）敖汉牧原</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77A8DB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中粮贸易粮食储运（赤峰）有限公司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486C4F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国产玉米</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6B76C6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自卸车、高栏车（带流口），挂车（带流口）</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6E215F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2026年5月1日-2026年9月30日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338D6A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10000.00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64709A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3811A2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0B9562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47</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172416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中粮贸易</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6F9D0E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包47中粮贸易（2026黑吉辽蒙）翁旗牧原</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043BB8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中粮贸易粮食储运（赤峰）有限公司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592DBF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国产玉米</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20E843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自卸车、高栏车（带流口），挂车（带流口）</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16C59D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2026年5月1日-2026年9月30日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42F921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10000.00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05D8B4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0CB58C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23D2A0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48</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3ADB93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中粮贸易</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5E878B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包48中粮贸易（2026黑吉辽蒙）赤峰伊品</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07E851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中粮贸易粮食储运（赤峰）有限公司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325410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国产玉米</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755454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自卸车、高栏车（带流口），挂车（带流口）</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0A3FC8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2026年5月1日-2026年9月30日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3C2D55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10000.00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7AE87A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4D5196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49E13F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49</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07E0D1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中粮油脂</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025577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包49中粮油脂（2026黑吉辽蒙）散装大豆运输</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1AE8B2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中纺粮油连王（大连）工业有限公司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1811D3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转基因/非转基因散装大豆</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2D2DE0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全封闭箱式散粮专用车（符合当地海关转基因散粮输送要求，须海关备案），车辆限高4米。</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0C4574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2026年5月1日-2027年4月30日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5F76DE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300000.00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35D9DE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0B5067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6B6730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048B07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中粮粮谷</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63639B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包50中粮粮谷（2026黑吉辽蒙）百威（中粮麦芽大连）</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7DA7A4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中粮麦芽（大连）有限公司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24B1FC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麦芽</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4706AC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高栏车（13米）</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11EC90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2026年5月1日-2027年4月30日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3E37F7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11600.00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763BB9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7E0187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659CB5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51</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254F7B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中粮粮谷</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0E4414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包51中粮粮谷（2026黑吉辽蒙）嘉士伯（中粮麦芽大连）</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0BC504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中粮麦芽（大连）有限公司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310412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麦芽</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033F3A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高栏车（13米）</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23ACFE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2026年5月1日-2027年4月30日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6C6949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392.00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35B8B3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6119BE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3383DD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52</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39B154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中粮粮谷</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4A3751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包52中粮粮谷（2026黑吉辽蒙）华润（中粮麦芽大连）</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4E989E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中粮麦芽（大连）有限公司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24FE6F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麦芽</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5FA521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高栏车（13米）</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6DC886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2026年5月1日-2027年4月30日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2F93CC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24895.00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410054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68E22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1C9273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53</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2DF0E2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中粮粮谷</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555105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包53中粮粮谷（2026黑吉辽蒙）燕京（中粮麦芽大连）</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06A9E8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中粮麦芽（大连）有限公司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605610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麦芽</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719756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高栏车（13米）</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008093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2026年5月1日-2027年4月30日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732A1A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6350.00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3B5301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535561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5C9CAA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54</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41C1B0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中粮粮谷</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29AAF6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包54中粮粮谷（2026黑吉辽蒙）独立+臻麦（中粮麦芽大连）</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42559D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中粮麦芽（大连）有限公司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6D00D6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麦芽</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2B480C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高栏车（13米）</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1BCB86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2026年5月1日-2027年4月30日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4D6E5F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5563.00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68B134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360F16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2A48EC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55</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10E23B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中粮粮谷</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338B7E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包55中粮粮谷（2026黑吉辽蒙）散装麦芽（中粮麦芽大连）</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650626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中粮麦芽（大连）有限公司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03A3FB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麦芽</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6116CB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40尺集装箱液压自卸车、40尺集装箱绞龙自卸车</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622B0B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2026年5月1日-2027年4月30日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58B689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67000.00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1C05BC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5AD745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360395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56</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241BBC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中粮粮谷</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3CA442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包56中粮粮谷（2026黑吉辽蒙）大麦（中粮麦芽大连）</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009876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中粮麦芽（大连）有限公司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44FA5D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大麦</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60F805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20尺集装箱液压自卸车</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7DFF6B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2026年5月1日-2027年4月30日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61C857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70000.00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24153B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55AF02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164010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57</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416762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中粮粮谷</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6E6056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包57中粮粮谷（2026黑吉辽蒙）零担（中粮麦芽大连）</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17088E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中粮麦芽（大连）有限公司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2E5047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麦芽</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3932D5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飞翼车</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0BC38E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2026年5月1日-2027年4月30日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33BEC5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1744.00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41902E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6924FD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55CF87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58</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5DC126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中粮粮谷</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45CBAE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包58中粮粮谷（2026黑吉辽蒙）大连米业（中粮米业）</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3BC542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中粮米业（大连）有限公司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38791E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大米及副产品等</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7ACD99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高栏车,平板车，厢车</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2D4B8F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2026年5月1日-2027年4月30日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0E22D7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16875.00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19439E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08699B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713353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59</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24A81B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中粮粮谷</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4F4666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包59中粮粮谷（2026黑吉辽蒙）虎林米业（中粮米业）</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543690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中粮米业（虎林）有限公司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6EA2C5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大米</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665D28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高栏车,平板车，厢车</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3999B9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2026年5月1日-2027年4月30日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163789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7938.00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1FD8A8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34A8B2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48360A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60</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5A475C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中粮粮谷</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35B9DB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包60中粮粮谷（2026黑吉辽蒙）吉林米业（中粮米业）</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2006E2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中粮米业（吉林）有限公司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2BC0BD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大米及副产品等</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1A19CF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高栏车,平板车，厢车</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21C064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2026年5月1日-2027年4月30日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001C94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14882.00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7C8710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549B17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02472F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61</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292339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中粮粮谷</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5BEDB8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包61中粮粮谷（2026黑吉辽蒙）建三江米业（中粮米业）</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188CCA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中粮建三江米业有限公司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07A4BA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大米及副产品等</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3894D0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高栏车,平板车，厢车</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0EC630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2026年5月1日-2027年4月30日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737813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10192.00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486BD5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1D3560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766065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62</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5CF886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中粮粮谷</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118840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包62中粮粮谷（2026黑吉辽蒙）沈阳米业（中粮米业）</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3BE938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中粮米业（沈阳）有限公司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5E00D3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大米及副产品等</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202757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高栏车,平板车，厢车</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3BC1C9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2026年5月1日-2027年4月30日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3D116C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39713.50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5BE952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06C75D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1CDC26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63</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79E9BA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中粮粮谷</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31C91F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包63中粮粮谷（2026黑吉辽蒙）绥化米业（中粮米业）</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25D7DA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中粮米业（绥化）有限公司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13BE99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大米及副产品等</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2F3354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高栏车,平板车，厢车</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5096A2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2026年5月1日-2027年4月30日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3413B0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15208.00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76CD60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477ED1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52DB7A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64</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722480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中粮粮谷</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1A9699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包64中粮粮谷（2026黑吉辽蒙）天津米业（中粮米业）</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1D60B6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中粮利金(天津)粮油股份有限公司静海分公司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3262F0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大米及副产品等</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2F718D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高栏车,平板车，厢车</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25E351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2026年5月1日-2027年4月30日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26FB9A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53540.00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035D6F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6ED0518F">
        <w:tblPrEx>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51898D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65</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4FFC8E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中粮粮谷</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4F6196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包65中粮粮谷（2026黑吉辽蒙）五常米业（中粮米业）</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788363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中粮米业（五常）有限公司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524B9F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大米及副产品等</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55E4BD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高栏车,平板车，厢车</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2924A6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2026年5月1日-2027年4月30日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6DA53A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37251.44</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6EBE60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4B4CE3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4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438243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66</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430E51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中粮粮谷</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7608D0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包66中粮粮谷（2026黑吉辽蒙）大连、虎林、吉林、三江、沈阳、绥化、天津、五常</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6645D4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米业（大连）有限公司、中粮米业（虎林）有限公司、中粮米业（吉林）有限公司、中粮建三江米业有限公司、中粮米业（沈阳）有限公司、中粮米业（绥化）有限公司、中粮米业（五常）有限公司、中粮利金(天津)粮油股份有限公司静海分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73A288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大米及副产品等</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2D50C2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高栏车、平板车</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53F26F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2026年5月1日-2027年4月30日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11AC4B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8994.00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58F6F4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5D16F4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5DE126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67</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32603D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中粮粮谷</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76F64C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包67中粮粮谷（2026黑吉辽蒙）面粉-巴彦-原粮</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53A36A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中粮面业(巴彦淖尔)有限公司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5C72A9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原粮</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4044FD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高栏车</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797621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2026年5月1日-2027年4月30日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4413FA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65000.00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124453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1E9AAB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0CF0FF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68</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166A03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中粮粮谷</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6D45F7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包68中粮粮谷（2026黑吉辽蒙）面粉-巴彦-副产品</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5C3580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中粮面业(巴彦淖尔)有限公司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5BC0AF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副产品</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2C0108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高栏车,平板车</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6E8077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2026年5月1日-2027年4月30日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286574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4000.00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7B1A8F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739F8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556B05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69</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3AF862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中粮粮谷</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61EDDD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包69中粮粮谷（2026黑吉辽蒙）面粉-巴彦-成品-整车</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73FD2C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中粮面业(巴彦淖尔)有限公司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34E0E4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成品</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535911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高栏车,平板车</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216BA8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2026年5月1日-2027年4月30日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45CFE1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20900.00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0BC264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525B21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7289C4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70</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0DDC43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中粮粮谷</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78285A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包70中粮粮谷（2026黑吉辽蒙）面粉-巴彦-成品-零担</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290A6A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中粮面业(巴彦淖尔)有限公司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5C0D76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成品</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6E5105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高栏车,平板车</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09A5A1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2026年5月1日-2028年4月30日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4974E1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4300.00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2409DD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4DDF46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5B2CAA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71</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429279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中粮粮谷</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657A8D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包71中粮粮谷（2026黑吉辽蒙）面粉-沈阳-散粉</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49D2BA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沈阳香雪面粉股份有限公司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4D251D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成副品</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6CD4C0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散粉罐车</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1D6D3C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highlight w:val="none"/>
                <w:u w:val="none"/>
                <w:lang w:val="en-US" w:eastAsia="zh-CN" w:bidi="ar"/>
              </w:rPr>
              <w:t>2026年5月1日-2028年4月30日(预估量为一年量)</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5E1222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highlight w:val="none"/>
                <w:u w:val="none"/>
                <w:lang w:val="en-US" w:eastAsia="zh-CN" w:bidi="ar"/>
              </w:rPr>
              <w:t>26500.00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5F448B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1C227F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32A9CD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72</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3F2D03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中粮粮谷</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2C528E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包72中粮粮谷（2026黑吉辽蒙）面粉-沈阳-成副品</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68CF87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沈阳香雪面粉股份有限公司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7E2F06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成副品</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6DA22B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厢式货车,高栏车</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6593A0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2026年5月1日-2027年4月30日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2CD169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38379.00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06DE41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1492F0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42B95A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73</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6DDDD3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中粮粮谷</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636419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包73中粮粮谷（2026黑吉辽蒙）面粉-沈阳-原粮-省内库点</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791DC7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沈阳香雪面粉股份有限公司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109D82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原粮</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1B34B8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高栏车</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222F00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2026年5月1日-2027年4月30日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3DBC6F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12000.00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1B98BD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5F732F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136DE5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74</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1CF125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中粮粮谷</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004FD1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包74中粮粮谷（2026黑吉辽蒙）面粉-沈阳-原粮-进口麦-天津港</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2B682D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沈阳香雪面粉股份有限公司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3C0636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原粮</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0A341D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铁路集装箱+汽运短倒（自卸车）</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3532A5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2026年5月1日-2027年4月30日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1BE832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8000.00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1C8390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186BB8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6FD591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75</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0C644E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中粮糖业</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4D1A98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包75中粮糖业（2026黑吉辽蒙）门到门（华北+内蒙）</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7407D5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中粮糖业控股有限公司,中粮糖业辽宁有限公司,中国糖业酒类集团有限公司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7E7AF3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白砂糖、红糖、赤砂糖、药用糖</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5439CD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集装箱车、高栏车,低栏车,平板车</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03DF4B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2026年5月1日-2027年4月30日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18F4E3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1509.62</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68996C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401A96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466760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76</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3DDFB9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中粮糖业</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2FFFAB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包76中粮糖业（2026黑吉辽蒙）门到门（黑龙江）</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4D7819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中粮糖业控股有限公司,中粮糖业辽宁有限公司,中国糖业酒类集团有限公司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1F456F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白砂糖、红糖、赤砂糖、药用糖</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5A0D38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集装箱车、高栏车,低栏车,平板车</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5AFCCA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2026年5月1日-2027年4月30日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105AC7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4219.52</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0B4728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4AFC72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5EAF48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77</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76EEC0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中粮糖业</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2B96F1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包77中粮糖业（2026黑吉辽蒙）门到门（辽宁）</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298308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中粮糖业控股有限公司,中粮糖业辽宁有限公司,中国糖业酒类集团有限公司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70B06C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白砂糖、红糖、赤砂糖、药用糖</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5515D7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集装箱车、高栏车,低栏车,平板车</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51B24E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2026年5月1日-2027年4月30日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285249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6191.23</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6509AC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389F09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757CB0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78</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504F0F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中粮糖业</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798115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包78中粮糖业（2026黑吉辽蒙）门到门（吉林）</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70A182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中粮糖业控股有限公司,中粮糖业辽宁有限公司,中国糖业酒类集团有限公司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22D50B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白砂糖、红糖、赤砂糖、药用糖</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6C0F82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集装箱车、高栏车,低栏车,平板车</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595B79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2026年5月1日-2027年4月30日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7982AE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7151.28</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474646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39FE13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1505AA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79</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374C1F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中粮糖业</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319D92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包79中粮糖业（2026黑吉辽蒙）门到门（华中华东华南西南）</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503514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中粮糖业控股有限公司,中粮糖业辽宁有限公司,中国糖业酒类集团有限公司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18F799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白砂糖、红糖、赤砂糖、药用糖</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69758B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集装箱车、高栏车,低栏车,平板车</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1B976C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2026年5月1日-2027年4月30日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537085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7479.02</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2F1AE1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346D06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0AC318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80</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16E4BD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中粮糖业</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13D076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包80中粮糖业（2026黑吉辽蒙）门到门（西北+内蒙）</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7F97ED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中粮糖业控股有限公司,中粮糖业辽宁有限公司,中国糖业酒类集团有限公司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1ACA05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白砂糖、红糖、赤砂糖、药用糖</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281F64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集装箱车、高栏车,低栏车,平板车</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036F1A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2026年5月1日-2027年4月30日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5BBC58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3243.59</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78FB90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4867DD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461632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81</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446A3C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中粮糖业</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1E054B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包81中粮糖业（2026黑吉辽蒙）港到门（黑吉辽蒙）</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64A965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中粮糖业控股有限公司,中粮糖业辽宁有限公司,中国糖业酒类集团有限公司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22CD8A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白砂糖、红糖、赤砂糖、药用糖</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47ADE9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集装箱车</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2D1CFD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2026年6月1日-2027年4月30日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6F9327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8762</w:t>
            </w:r>
            <w:r>
              <w:rPr>
                <w:rFonts w:hint="eastAsia" w:ascii="宋体" w:hAnsi="宋体" w:eastAsia="宋体" w:cs="宋体"/>
                <w:i w:val="0"/>
                <w:iCs w:val="0"/>
                <w:color w:val="000000"/>
                <w:sz w:val="18"/>
                <w:szCs w:val="18"/>
                <w:highlight w:val="none"/>
                <w:u w:val="none"/>
                <w:lang w:val="en-US" w:eastAsia="zh-CN"/>
              </w:rPr>
              <w:t>.00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307027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09FB5B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7E5A8E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82</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2327BE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中粮糖业</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749B18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包82中粮糖业（2026黑吉辽蒙）番茄门到门（黑吉辽）</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27D30A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中粮屯河番茄有限公司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39FA3C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番茄酱</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435C23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高栏车,低栏车,平板车</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16CB67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2026年9月1日-2027年4月30日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1065FF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277.00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4DBF88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按线路低价授标成交多家（共计18条线路）</w:t>
            </w:r>
          </w:p>
        </w:tc>
      </w:tr>
      <w:tr w14:paraId="692E12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4E5694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83</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43FB05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中粮生物科技</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03743B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包83中粮生物科技（2026黑吉辽蒙）公主岭-蒙牛工厂及其他</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0216EF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中粮生化能源（公主岭）有限公司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3048C1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变性淀粉</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77BD6A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高栏车,平板车,挂车,飞翼车</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6912CE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2026年5月1日-2027年4月30日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516E8A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1805.00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35682D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667E82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41D0EC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84</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0BBD72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中粮生物科技</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194928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包84中粮生物科技（2026黑吉辽蒙）肇东公司（大庆库和哈尔滨库）</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781C5E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中粮生化能源（肇东）有限公司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17F294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玉米</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60AC68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高栏车</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00133C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2026年5月1日-2026年9月30日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109B48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20000.00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0696F1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79D70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1D1A9A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85</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7AA84D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中粮生物科技</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7FBACA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包85中粮生物科技（2026黑吉辽蒙）肇东公司（肇东库和肇州库）</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24EF96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中粮生化能源（肇东）有限公司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740161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玉米</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63CA50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高栏车</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4099C0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2026年5月1日-2026年9月30日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2B549A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25000.00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6D9AB7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r w14:paraId="3A2F72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0" w:hRule="atLeast"/>
          <w:jc w:val="center"/>
        </w:trPr>
        <w:tc>
          <w:tcPr>
            <w:tcW w:w="350" w:type="pct"/>
            <w:tcBorders>
              <w:top w:val="single" w:color="000000" w:sz="4" w:space="0"/>
              <w:left w:val="single" w:color="000000" w:sz="4" w:space="0"/>
              <w:bottom w:val="single" w:color="000000" w:sz="4" w:space="0"/>
              <w:right w:val="single" w:color="000000" w:sz="4" w:space="0"/>
            </w:tcBorders>
            <w:noWrap w:val="0"/>
            <w:vAlign w:val="center"/>
          </w:tcPr>
          <w:p w14:paraId="4C5F07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86</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14:paraId="4D6553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中粮生物科技</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14:paraId="11D861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包86中粮生物科技（2026黑吉辽蒙）公主岭、榆树-周边、省内、省外干支线运输</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21D4CD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吉林中粮生化能源销售有限公司</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14:paraId="021626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糊精、果糖、麦芽糊精、药用糊精、食用玉米淀、果葡糖浆</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5ED5C6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高栏车（13米）,平板车（17.5米）</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7FE8CE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2026年5月1日-2026年8月31日</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5E575C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7870.00</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729035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r>
    </w:tbl>
    <w:p w14:paraId="1CC50614">
      <w:pPr>
        <w:adjustRightInd w:val="0"/>
        <w:snapToGrid w:val="0"/>
        <w:spacing w:line="360" w:lineRule="auto"/>
        <w:ind w:firstLine="480" w:firstLineChars="200"/>
        <w:rPr>
          <w:rFonts w:hint="eastAsia" w:ascii="宋体" w:hAnsi="宋体" w:eastAsia="宋体" w:cs="宋体"/>
          <w:color w:val="auto"/>
          <w:sz w:val="24"/>
          <w:highlight w:val="none"/>
          <w:lang w:bidi="ar"/>
        </w:rPr>
      </w:pPr>
      <w:r>
        <w:rPr>
          <w:rFonts w:hint="eastAsia" w:ascii="宋体" w:hAnsi="宋体" w:eastAsia="宋体" w:cs="宋体"/>
          <w:color w:val="auto"/>
          <w:sz w:val="24"/>
          <w:highlight w:val="none"/>
          <w:lang w:bidi="ar"/>
        </w:rPr>
        <w:t>注：数量均为预估数量，实际采购数量以订单为准。其他内容以采购文件及对应包件的附件要求为准。</w:t>
      </w:r>
    </w:p>
    <w:p w14:paraId="5B1B1D1D">
      <w:pPr>
        <w:adjustRightInd w:val="0"/>
        <w:snapToGrid w:val="0"/>
        <w:spacing w:line="360" w:lineRule="auto"/>
        <w:ind w:firstLine="480" w:firstLineChars="200"/>
        <w:rPr>
          <w:rFonts w:hint="eastAsia" w:ascii="宋体" w:hAnsi="宋体" w:eastAsia="宋体" w:cs="宋体"/>
          <w:color w:val="auto"/>
          <w:sz w:val="24"/>
          <w:highlight w:val="none"/>
          <w:lang w:bidi="ar"/>
        </w:rPr>
      </w:pPr>
      <w:bookmarkStart w:id="6" w:name="_Toc501460634"/>
      <w:bookmarkStart w:id="7" w:name="_Toc20467"/>
      <w:r>
        <w:rPr>
          <w:rFonts w:hint="eastAsia" w:ascii="宋体" w:hAnsi="宋体" w:eastAsia="宋体" w:cs="宋体"/>
          <w:color w:val="auto"/>
          <w:sz w:val="24"/>
          <w:highlight w:val="none"/>
          <w:lang w:bidi="ar"/>
        </w:rPr>
        <w:t>2.2 服务要求：详见采购文件的</w:t>
      </w:r>
      <w:r>
        <w:rPr>
          <w:rFonts w:hint="eastAsia" w:ascii="宋体" w:hAnsi="宋体" w:eastAsia="宋体" w:cs="宋体"/>
          <w:color w:val="auto"/>
          <w:sz w:val="24"/>
          <w:highlight w:val="none"/>
          <w:lang w:val="en-US" w:eastAsia="zh-CN" w:bidi="ar"/>
        </w:rPr>
        <w:t>采购需求</w:t>
      </w:r>
      <w:r>
        <w:rPr>
          <w:rFonts w:hint="eastAsia" w:ascii="宋体" w:hAnsi="宋体" w:eastAsia="宋体" w:cs="宋体"/>
          <w:color w:val="auto"/>
          <w:sz w:val="24"/>
          <w:highlight w:val="none"/>
          <w:lang w:bidi="ar"/>
        </w:rPr>
        <w:t>通用条款及各</w:t>
      </w:r>
      <w:r>
        <w:rPr>
          <w:rFonts w:hint="eastAsia" w:ascii="宋体" w:hAnsi="宋体" w:eastAsia="宋体" w:cs="宋体"/>
          <w:color w:val="auto"/>
          <w:sz w:val="24"/>
          <w:highlight w:val="none"/>
          <w:lang w:val="en-US" w:eastAsia="zh-CN" w:bidi="ar"/>
        </w:rPr>
        <w:t>采购包的</w:t>
      </w:r>
      <w:r>
        <w:rPr>
          <w:rFonts w:hint="eastAsia" w:ascii="宋体" w:hAnsi="宋体" w:eastAsia="宋体" w:cs="宋体"/>
          <w:color w:val="auto"/>
          <w:sz w:val="24"/>
          <w:highlight w:val="none"/>
          <w:lang w:bidi="ar"/>
        </w:rPr>
        <w:t>专用</w:t>
      </w:r>
      <w:r>
        <w:rPr>
          <w:rFonts w:hint="eastAsia" w:ascii="宋体" w:hAnsi="宋体" w:eastAsia="宋体" w:cs="宋体"/>
          <w:color w:val="auto"/>
          <w:sz w:val="24"/>
          <w:highlight w:val="none"/>
          <w:lang w:val="en-US" w:eastAsia="zh-CN" w:bidi="ar"/>
        </w:rPr>
        <w:t>采购需求内容</w:t>
      </w:r>
      <w:r>
        <w:rPr>
          <w:rFonts w:hint="eastAsia" w:ascii="宋体" w:hAnsi="宋体" w:eastAsia="宋体" w:cs="宋体"/>
          <w:color w:val="auto"/>
          <w:sz w:val="24"/>
          <w:highlight w:val="none"/>
          <w:lang w:bidi="ar"/>
        </w:rPr>
        <w:t>。</w:t>
      </w:r>
    </w:p>
    <w:p w14:paraId="7B50E249">
      <w:pPr>
        <w:adjustRightInd w:val="0"/>
        <w:snapToGrid w:val="0"/>
        <w:spacing w:line="360" w:lineRule="auto"/>
        <w:ind w:firstLine="480" w:firstLineChars="200"/>
        <w:rPr>
          <w:rFonts w:hint="eastAsia" w:ascii="宋体" w:hAnsi="宋体" w:eastAsia="宋体" w:cs="宋体"/>
          <w:color w:val="auto"/>
          <w:sz w:val="24"/>
          <w:highlight w:val="none"/>
          <w:lang w:eastAsia="zh-CN" w:bidi="ar"/>
        </w:rPr>
      </w:pPr>
      <w:r>
        <w:rPr>
          <w:rFonts w:hint="eastAsia" w:ascii="宋体" w:hAnsi="宋体" w:eastAsia="宋体" w:cs="宋体"/>
          <w:color w:val="auto"/>
          <w:sz w:val="24"/>
          <w:highlight w:val="none"/>
          <w:lang w:bidi="ar"/>
        </w:rPr>
        <w:t>2.3 其他要求：供应商可对本项目一个或多个采购包进行响应，可成交多个采购包</w:t>
      </w:r>
      <w:r>
        <w:rPr>
          <w:rFonts w:hint="eastAsia" w:ascii="宋体" w:hAnsi="宋体" w:eastAsia="宋体" w:cs="宋体"/>
          <w:color w:val="auto"/>
          <w:sz w:val="24"/>
          <w:szCs w:val="24"/>
          <w:highlight w:val="none"/>
        </w:rPr>
        <w:t>。采购人有权在成交通知书发出前或合同签订前，对响应多个采购包的供应商进行履约能力核查，必要时可要求其提供相关证明材料。若经核查，供应商被认定不具备相应履约能力，采购人有权拒绝与其签订合同</w:t>
      </w:r>
      <w:r>
        <w:rPr>
          <w:rFonts w:hint="eastAsia" w:ascii="宋体" w:hAnsi="宋体" w:eastAsia="宋体" w:cs="宋体"/>
          <w:color w:val="auto"/>
          <w:sz w:val="24"/>
          <w:szCs w:val="24"/>
          <w:highlight w:val="none"/>
          <w:lang w:eastAsia="zh-CN"/>
        </w:rPr>
        <w:t>。</w:t>
      </w:r>
    </w:p>
    <w:p w14:paraId="47467C37">
      <w:pPr>
        <w:adjustRightInd w:val="0"/>
        <w:snapToGrid w:val="0"/>
        <w:spacing w:before="120" w:after="120" w:line="400" w:lineRule="exact"/>
        <w:ind w:firstLine="422" w:firstLineChars="150"/>
        <w:rPr>
          <w:rFonts w:hint="eastAsia" w:ascii="宋体" w:hAnsi="宋体" w:eastAsia="宋体" w:cs="宋体"/>
          <w:b/>
          <w:bCs/>
          <w:color w:val="auto"/>
          <w:sz w:val="28"/>
          <w:szCs w:val="32"/>
          <w:highlight w:val="none"/>
        </w:rPr>
      </w:pPr>
      <w:r>
        <w:rPr>
          <w:rFonts w:hint="eastAsia" w:ascii="宋体" w:hAnsi="宋体" w:eastAsia="宋体" w:cs="宋体"/>
          <w:b/>
          <w:bCs/>
          <w:color w:val="auto"/>
          <w:sz w:val="28"/>
          <w:szCs w:val="32"/>
          <w:highlight w:val="none"/>
        </w:rPr>
        <w:t>3. 供应商资格要求</w:t>
      </w:r>
      <w:bookmarkEnd w:id="6"/>
      <w:bookmarkEnd w:id="7"/>
    </w:p>
    <w:p w14:paraId="7EEABDE3">
      <w:pPr>
        <w:adjustRightInd w:val="0"/>
        <w:snapToGrid w:val="0"/>
        <w:spacing w:line="360" w:lineRule="auto"/>
        <w:ind w:firstLine="482" w:firstLineChars="200"/>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rPr>
        <w:t>3.1通用资格要求：（</w:t>
      </w:r>
      <w:r>
        <w:rPr>
          <w:rFonts w:hint="eastAsia" w:ascii="宋体" w:hAnsi="宋体" w:eastAsia="宋体" w:cs="宋体"/>
          <w:b/>
          <w:bCs/>
          <w:color w:val="auto"/>
          <w:sz w:val="24"/>
          <w:highlight w:val="none"/>
          <w:lang w:val="en-US" w:eastAsia="zh-CN"/>
        </w:rPr>
        <w:t>本项目各采购包的响应供应商均须满足本条款要求，采购包另有备注说明的除外</w:t>
      </w:r>
      <w:r>
        <w:rPr>
          <w:rFonts w:hint="eastAsia" w:ascii="宋体" w:hAnsi="宋体" w:eastAsia="宋体" w:cs="宋体"/>
          <w:b/>
          <w:bCs/>
          <w:color w:val="auto"/>
          <w:sz w:val="24"/>
          <w:highlight w:val="none"/>
        </w:rPr>
        <w:t>）</w:t>
      </w:r>
    </w:p>
    <w:p w14:paraId="0936DDA7">
      <w:pPr>
        <w:snapToGrid w:val="0"/>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3.1.1</w:t>
      </w:r>
      <w:r>
        <w:rPr>
          <w:rFonts w:hint="eastAsia" w:ascii="宋体" w:hAnsi="宋体" w:eastAsia="宋体" w:cs="宋体"/>
          <w:b/>
          <w:bCs/>
          <w:color w:val="auto"/>
          <w:sz w:val="24"/>
          <w:szCs w:val="24"/>
          <w:highlight w:val="none"/>
        </w:rPr>
        <w:t>资质要求：</w:t>
      </w:r>
    </w:p>
    <w:p w14:paraId="35D5BCA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（1）</w:t>
      </w:r>
      <w:r>
        <w:rPr>
          <w:rFonts w:hint="eastAsia" w:ascii="宋体" w:hAnsi="宋体" w:eastAsia="宋体" w:cs="宋体"/>
          <w:color w:val="auto"/>
          <w:sz w:val="24"/>
          <w:szCs w:val="24"/>
          <w:highlight w:val="none"/>
        </w:rPr>
        <w:t>具有独立承担民事责任能力，有提供服务的能力。证明材料要求：具备独立法人资格的供应商提供有效的营业执照复印件或影印件。不具备独立法人资格的分支机构参与谈判的供应商，须提供其所属单位出具的授权函，授权其在范围内依法开展业务，并加盖单位公章</w:t>
      </w:r>
      <w:r>
        <w:rPr>
          <w:rFonts w:hint="eastAsia" w:ascii="宋体" w:hAnsi="宋体" w:eastAsia="宋体" w:cs="宋体"/>
          <w:color w:val="auto"/>
          <w:sz w:val="24"/>
          <w:szCs w:val="24"/>
          <w:highlight w:val="none"/>
          <w:lang w:eastAsia="zh-CN"/>
        </w:rPr>
        <w:t>；</w:t>
      </w:r>
    </w:p>
    <w:p w14:paraId="22DAEE72">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kern w:val="2"/>
          <w:sz w:val="24"/>
          <w:szCs w:val="24"/>
          <w:highlight w:val="none"/>
          <w:lang w:val="en-US" w:eastAsia="zh-CN" w:bidi="ar-SA"/>
        </w:rPr>
        <w:t>（2）</w:t>
      </w:r>
      <w:r>
        <w:rPr>
          <w:rFonts w:hint="eastAsia" w:ascii="宋体" w:hAnsi="宋体" w:eastAsia="宋体" w:cs="宋体"/>
          <w:color w:val="auto"/>
          <w:sz w:val="24"/>
          <w:szCs w:val="24"/>
          <w:highlight w:val="none"/>
        </w:rPr>
        <w:t>具有有效的道路运输经营许可证。证明材料要求：提供有效的道路运输经营许可证扫描件</w:t>
      </w:r>
      <w:r>
        <w:rPr>
          <w:rFonts w:hint="eastAsia" w:ascii="宋体" w:hAnsi="宋体" w:eastAsia="宋体" w:cs="宋体"/>
          <w:color w:val="auto"/>
          <w:sz w:val="24"/>
          <w:szCs w:val="24"/>
          <w:highlight w:val="none"/>
          <w:lang w:eastAsia="zh-CN"/>
        </w:rPr>
        <w:t>；</w:t>
      </w:r>
    </w:p>
    <w:p w14:paraId="098BF776">
      <w:pPr>
        <w:snapToGrid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（3）</w:t>
      </w:r>
      <w:r>
        <w:rPr>
          <w:rFonts w:hint="eastAsia" w:ascii="宋体" w:hAnsi="宋体" w:eastAsia="宋体" w:cs="宋体"/>
          <w:color w:val="auto"/>
          <w:sz w:val="24"/>
          <w:szCs w:val="24"/>
          <w:highlight w:val="none"/>
        </w:rPr>
        <w:t>具有一般纳税人证明，可以开具增值税专用发票，发票税率要求为9%</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证明材料要求：供应商须提供有效期内的一般纳税人资格证明，或提供近一个月内开具与本项目</w:t>
      </w:r>
      <w:r>
        <w:rPr>
          <w:rFonts w:hint="eastAsia" w:ascii="宋体" w:hAnsi="宋体" w:eastAsia="宋体" w:cs="宋体"/>
          <w:color w:val="auto"/>
          <w:sz w:val="24"/>
          <w:szCs w:val="24"/>
          <w:highlight w:val="none"/>
          <w:lang w:val="en-US" w:eastAsia="zh-CN"/>
        </w:rPr>
        <w:t>相同</w:t>
      </w:r>
      <w:r>
        <w:rPr>
          <w:rFonts w:hint="eastAsia" w:ascii="宋体" w:hAnsi="宋体" w:eastAsia="宋体" w:cs="宋体"/>
          <w:color w:val="auto"/>
          <w:sz w:val="24"/>
          <w:szCs w:val="24"/>
          <w:highlight w:val="none"/>
        </w:rPr>
        <w:t>税率</w:t>
      </w:r>
      <w:r>
        <w:rPr>
          <w:rFonts w:hint="eastAsia" w:ascii="宋体" w:hAnsi="宋体" w:eastAsia="宋体" w:cs="宋体"/>
          <w:color w:val="auto"/>
          <w:sz w:val="24"/>
          <w:szCs w:val="24"/>
          <w:highlight w:val="none"/>
          <w:lang w:val="en-US" w:eastAsia="zh-CN"/>
        </w:rPr>
        <w:t>要求的</w:t>
      </w:r>
      <w:r>
        <w:rPr>
          <w:rFonts w:hint="eastAsia" w:ascii="宋体" w:hAnsi="宋体" w:eastAsia="宋体" w:cs="宋体"/>
          <w:color w:val="auto"/>
          <w:sz w:val="24"/>
          <w:szCs w:val="24"/>
          <w:highlight w:val="none"/>
        </w:rPr>
        <w:t>增值税专用发票复印件（</w:t>
      </w:r>
      <w:r>
        <w:rPr>
          <w:rFonts w:hint="eastAsia" w:ascii="宋体" w:hAnsi="宋体" w:eastAsia="宋体" w:cs="宋体"/>
          <w:color w:val="auto"/>
          <w:sz w:val="24"/>
          <w:szCs w:val="24"/>
          <w:highlight w:val="none"/>
          <w:lang w:val="en-US" w:eastAsia="zh-CN"/>
        </w:rPr>
        <w:t>发票须真实有效，优先提供</w:t>
      </w:r>
      <w:r>
        <w:rPr>
          <w:rFonts w:hint="eastAsia" w:ascii="宋体" w:hAnsi="宋体" w:eastAsia="宋体" w:cs="宋体"/>
          <w:color w:val="auto"/>
          <w:sz w:val="24"/>
          <w:szCs w:val="24"/>
          <w:highlight w:val="none"/>
        </w:rPr>
        <w:t>从税务系统下载</w:t>
      </w:r>
      <w:r>
        <w:rPr>
          <w:rFonts w:hint="eastAsia" w:ascii="宋体" w:hAnsi="宋体" w:eastAsia="宋体" w:cs="宋体"/>
          <w:color w:val="auto"/>
          <w:sz w:val="24"/>
          <w:szCs w:val="24"/>
          <w:highlight w:val="none"/>
          <w:lang w:val="en-US" w:eastAsia="zh-CN"/>
        </w:rPr>
        <w:t>的版本，提供</w:t>
      </w:r>
      <w:r>
        <w:rPr>
          <w:rFonts w:hint="eastAsia" w:ascii="宋体" w:hAnsi="宋体" w:eastAsia="宋体" w:cs="宋体"/>
          <w:color w:val="auto"/>
          <w:sz w:val="24"/>
          <w:szCs w:val="24"/>
          <w:highlight w:val="none"/>
        </w:rPr>
        <w:t>纸质发票</w:t>
      </w:r>
      <w:r>
        <w:rPr>
          <w:rFonts w:hint="eastAsia" w:ascii="宋体" w:hAnsi="宋体" w:eastAsia="宋体" w:cs="宋体"/>
          <w:color w:val="auto"/>
          <w:sz w:val="24"/>
          <w:szCs w:val="24"/>
          <w:highlight w:val="none"/>
          <w:lang w:val="en-US" w:eastAsia="zh-CN"/>
        </w:rPr>
        <w:t>的要确保能检核通过）。</w:t>
      </w:r>
      <w:r>
        <w:rPr>
          <w:rFonts w:hint="eastAsia" w:ascii="宋体" w:hAnsi="宋体" w:eastAsia="宋体" w:cs="宋体"/>
          <w:b/>
          <w:bCs/>
          <w:color w:val="auto"/>
          <w:sz w:val="24"/>
          <w:szCs w:val="24"/>
          <w:highlight w:val="none"/>
          <w:lang w:val="en-US" w:eastAsia="zh-CN"/>
        </w:rPr>
        <w:t>（中粮家佳康采购包17-29不适用本条要求）</w:t>
      </w:r>
    </w:p>
    <w:p w14:paraId="073C6394">
      <w:pPr>
        <w:snapToGrid w:val="0"/>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3.1.2财务要求：</w:t>
      </w:r>
    </w:p>
    <w:p w14:paraId="058C3F03">
      <w:pPr>
        <w:numPr>
          <w:ilvl w:val="0"/>
          <w:numId w:val="0"/>
        </w:numPr>
        <w:adjustRightInd w:val="0"/>
        <w:snapToGrid w:val="0"/>
        <w:spacing w:line="360" w:lineRule="auto"/>
        <w:ind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（1）供应商财务状况良好，没有被责令停产停业、暂扣或者吊销执照、暂扣或者吊销许可证、吊销资质证书状态；没有进入清算程序，或被宣告破产，或其他丧失履约能力的情形</w:t>
      </w:r>
      <w:r>
        <w:rPr>
          <w:rFonts w:hint="eastAsia" w:ascii="宋体" w:hAnsi="宋体" w:eastAsia="宋体" w:cs="宋体"/>
          <w:color w:val="auto"/>
          <w:sz w:val="24"/>
          <w:szCs w:val="24"/>
          <w:highlight w:val="none"/>
        </w:rPr>
        <w:t>（提供承诺函，格式详见附件</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color w:val="auto"/>
          <w:kern w:val="2"/>
          <w:sz w:val="24"/>
          <w:szCs w:val="24"/>
          <w:highlight w:val="none"/>
          <w:lang w:val="en-US" w:eastAsia="zh-CN" w:bidi="ar-SA"/>
        </w:rPr>
        <w:t>；</w:t>
      </w:r>
    </w:p>
    <w:p w14:paraId="6A200E7D">
      <w:pPr>
        <w:snapToGrid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供应商须经营资金状况良好，具备充足的履约资金保障</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近三年（2023年-2025年）内经营性现金流量净额不得连续三年均为负值</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证明材料要求：</w:t>
      </w:r>
      <w:r>
        <w:rPr>
          <w:rFonts w:hint="eastAsia" w:ascii="宋体" w:hAnsi="宋体" w:eastAsia="宋体" w:cs="宋体"/>
          <w:b w:val="0"/>
          <w:bCs w:val="0"/>
          <w:color w:val="auto"/>
          <w:sz w:val="24"/>
          <w:szCs w:val="24"/>
          <w:highlight w:val="none"/>
        </w:rPr>
        <w:t>提供</w:t>
      </w:r>
      <w:r>
        <w:rPr>
          <w:rFonts w:hint="eastAsia" w:ascii="宋体" w:hAnsi="宋体" w:eastAsia="宋体" w:cs="宋体"/>
          <w:b/>
          <w:bCs/>
          <w:color w:val="auto"/>
          <w:sz w:val="24"/>
          <w:szCs w:val="24"/>
          <w:highlight w:val="none"/>
          <w:lang w:val="en-US" w:eastAsia="zh-CN"/>
        </w:rPr>
        <w:t>近三年</w:t>
      </w:r>
      <w:r>
        <w:rPr>
          <w:rFonts w:hint="eastAsia" w:ascii="宋体" w:hAnsi="宋体" w:eastAsia="宋体" w:cs="宋体"/>
          <w:b/>
          <w:bCs/>
          <w:color w:val="auto"/>
          <w:sz w:val="24"/>
          <w:szCs w:val="24"/>
          <w:highlight w:val="none"/>
        </w:rPr>
        <w:t>的</w:t>
      </w:r>
      <w:r>
        <w:rPr>
          <w:rFonts w:hint="eastAsia" w:ascii="宋体" w:hAnsi="宋体" w:eastAsia="宋体" w:cs="宋体"/>
          <w:b/>
          <w:bCs/>
          <w:color w:val="auto"/>
          <w:sz w:val="24"/>
          <w:szCs w:val="24"/>
          <w:highlight w:val="none"/>
          <w:lang w:val="en-US" w:eastAsia="zh-CN"/>
        </w:rPr>
        <w:t>经营性现金流量表复印件</w:t>
      </w:r>
      <w:r>
        <w:rPr>
          <w:rFonts w:hint="eastAsia" w:ascii="宋体" w:hAnsi="宋体" w:eastAsia="宋体" w:cs="宋体"/>
          <w:b w:val="0"/>
          <w:bCs w:val="0"/>
          <w:color w:val="auto"/>
          <w:sz w:val="24"/>
          <w:szCs w:val="24"/>
          <w:highlight w:val="none"/>
        </w:rPr>
        <w:t>并由财务负责人签字及加盖财务专用章</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bCs/>
          <w:color w:val="auto"/>
          <w:sz w:val="24"/>
          <w:szCs w:val="24"/>
          <w:highlight w:val="none"/>
          <w:lang w:val="en-US" w:eastAsia="zh-CN"/>
        </w:rPr>
        <w:t>（中粮粮谷采购包50-74不适用本条要求）</w:t>
      </w:r>
    </w:p>
    <w:p w14:paraId="1E396E3A">
      <w:pPr>
        <w:snapToGrid w:val="0"/>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注：</w:t>
      </w:r>
    </w:p>
    <w:p w14:paraId="3016791B">
      <w:pPr>
        <w:snapToGrid w:val="0"/>
        <w:spacing w:line="360" w:lineRule="auto"/>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rPr>
        <w:t>①若因审计原因无法出具2025年度财务报表，须出具加盖本单位财务专用章的情况说明（明确无法出具的具体原因）</w:t>
      </w:r>
      <w:r>
        <w:rPr>
          <w:rFonts w:hint="eastAsia" w:ascii="宋体" w:hAnsi="宋体" w:eastAsia="宋体" w:cs="宋体"/>
          <w:b w:val="0"/>
          <w:bCs w:val="0"/>
          <w:color w:val="auto"/>
          <w:sz w:val="24"/>
          <w:szCs w:val="24"/>
          <w:highlight w:val="none"/>
          <w:lang w:val="en-US" w:eastAsia="zh-CN"/>
        </w:rPr>
        <w:t>且提供经财务负责人签字并加盖本单位财务专用章的2022年-2024年经营性现金流量净额相关说明作为替代材料；</w:t>
      </w:r>
    </w:p>
    <w:p w14:paraId="718B8820">
      <w:pPr>
        <w:snapToGrid w:val="0"/>
        <w:spacing w:line="360" w:lineRule="auto"/>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rPr>
        <w:t>②</w:t>
      </w:r>
      <w:r>
        <w:rPr>
          <w:rFonts w:hint="eastAsia" w:ascii="宋体" w:hAnsi="宋体" w:eastAsia="宋体" w:cs="宋体"/>
          <w:b w:val="0"/>
          <w:bCs w:val="0"/>
          <w:color w:val="auto"/>
          <w:sz w:val="24"/>
          <w:szCs w:val="24"/>
          <w:highlight w:val="none"/>
          <w:lang w:val="en-US" w:eastAsia="zh-CN"/>
        </w:rPr>
        <w:t>成立不满3年的，提供成立以来的经财务负责人签字并加盖本单位财务专用章的经营性现金流量净额相关说明）；</w:t>
      </w:r>
    </w:p>
    <w:p w14:paraId="68E945FA">
      <w:pPr>
        <w:snapToGrid w:val="0"/>
        <w:spacing w:line="360" w:lineRule="auto"/>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rPr>
        <w:t>③</w:t>
      </w:r>
      <w:r>
        <w:rPr>
          <w:rFonts w:hint="eastAsia" w:ascii="宋体" w:hAnsi="宋体" w:eastAsia="宋体" w:cs="宋体"/>
          <w:b w:val="0"/>
          <w:bCs w:val="0"/>
          <w:color w:val="auto"/>
          <w:sz w:val="24"/>
          <w:szCs w:val="24"/>
          <w:highlight w:val="none"/>
          <w:lang w:val="en-US" w:eastAsia="zh-CN"/>
        </w:rPr>
        <w:t>若连续三年经营性现金流量净额均为负值，股东或集团公司或集团内同等级别公司可提供履约担保函。</w:t>
      </w:r>
    </w:p>
    <w:p w14:paraId="35F85A65">
      <w:pPr>
        <w:numPr>
          <w:ilvl w:val="0"/>
          <w:numId w:val="0"/>
        </w:numPr>
        <w:snapToGrid w:val="0"/>
        <w:spacing w:line="360" w:lineRule="auto"/>
        <w:ind w:left="0" w:leftChars="0" w:firstLine="480" w:firstLineChars="200"/>
        <w:rPr>
          <w:rFonts w:hint="eastAsia" w:ascii="宋体" w:hAnsi="宋体" w:eastAsia="宋体" w:cs="宋体"/>
          <w:b w:val="0"/>
          <w:bCs w:val="0"/>
          <w:color w:val="auto"/>
          <w:sz w:val="24"/>
          <w:szCs w:val="24"/>
          <w:highlight w:val="none"/>
          <w:lang w:eastAsia="zh-CN"/>
        </w:rPr>
      </w:pPr>
      <w:r>
        <w:rPr>
          <w:rFonts w:hint="eastAsia" w:ascii="宋体" w:hAnsi="宋体" w:eastAsia="宋体" w:cs="宋体"/>
          <w:color w:val="auto"/>
          <w:kern w:val="2"/>
          <w:sz w:val="24"/>
          <w:szCs w:val="24"/>
          <w:highlight w:val="none"/>
          <w:lang w:val="en-US" w:eastAsia="zh-CN" w:bidi="ar-SA"/>
        </w:rPr>
        <w:t>（3）</w:t>
      </w:r>
      <w:r>
        <w:rPr>
          <w:rFonts w:hint="eastAsia" w:ascii="宋体" w:hAnsi="宋体" w:eastAsia="宋体" w:cs="宋体"/>
          <w:b w:val="0"/>
          <w:bCs w:val="0"/>
          <w:color w:val="auto"/>
          <w:sz w:val="24"/>
          <w:szCs w:val="24"/>
          <w:highlight w:val="none"/>
        </w:rPr>
        <w:t>上年度末（202</w:t>
      </w:r>
      <w:r>
        <w:rPr>
          <w:rFonts w:hint="eastAsia" w:ascii="宋体" w:hAnsi="宋体" w:eastAsia="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rPr>
        <w:t>年度）资产负债率不能高于75%</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color w:val="auto"/>
          <w:sz w:val="24"/>
          <w:szCs w:val="24"/>
          <w:highlight w:val="none"/>
        </w:rPr>
        <w:t>证明材料要求：</w:t>
      </w:r>
      <w:r>
        <w:rPr>
          <w:rFonts w:hint="eastAsia" w:ascii="宋体" w:hAnsi="宋体" w:eastAsia="宋体" w:cs="宋体"/>
          <w:b w:val="0"/>
          <w:bCs w:val="0"/>
          <w:color w:val="auto"/>
          <w:sz w:val="24"/>
          <w:szCs w:val="24"/>
          <w:highlight w:val="none"/>
        </w:rPr>
        <w:t>提供202</w:t>
      </w:r>
      <w:r>
        <w:rPr>
          <w:rFonts w:hint="eastAsia" w:ascii="宋体" w:hAnsi="宋体" w:eastAsia="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rPr>
        <w:t>年度末的</w:t>
      </w:r>
      <w:r>
        <w:rPr>
          <w:rFonts w:hint="eastAsia" w:ascii="宋体" w:hAnsi="宋体" w:eastAsia="宋体" w:cs="宋体"/>
          <w:b/>
          <w:bCs/>
          <w:color w:val="auto"/>
          <w:sz w:val="24"/>
          <w:szCs w:val="24"/>
          <w:highlight w:val="none"/>
        </w:rPr>
        <w:t>资产负债率说明</w:t>
      </w:r>
      <w:r>
        <w:rPr>
          <w:rFonts w:hint="eastAsia" w:ascii="宋体" w:hAnsi="宋体" w:eastAsia="宋体" w:cs="宋体"/>
          <w:b w:val="0"/>
          <w:bCs w:val="0"/>
          <w:color w:val="auto"/>
          <w:sz w:val="24"/>
          <w:szCs w:val="24"/>
          <w:highlight w:val="none"/>
        </w:rPr>
        <w:t>并由财务负责人签字及加盖财务专用章</w:t>
      </w:r>
      <w:r>
        <w:rPr>
          <w:rFonts w:hint="eastAsia" w:ascii="宋体" w:hAnsi="宋体" w:eastAsia="宋体" w:cs="宋体"/>
          <w:b w:val="0"/>
          <w:bCs w:val="0"/>
          <w:color w:val="auto"/>
          <w:sz w:val="24"/>
          <w:szCs w:val="24"/>
          <w:highlight w:val="none"/>
          <w:lang w:eastAsia="zh-CN"/>
        </w:rPr>
        <w:t>。</w:t>
      </w:r>
    </w:p>
    <w:p w14:paraId="191291D0">
      <w:pPr>
        <w:snapToGrid w:val="0"/>
        <w:spacing w:line="360" w:lineRule="auto"/>
        <w:ind w:firstLine="482" w:firstLineChars="20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注：</w:t>
      </w:r>
    </w:p>
    <w:p w14:paraId="4F11A8EB">
      <w:pPr>
        <w:snapToGrid w:val="0"/>
        <w:spacing w:line="360" w:lineRule="auto"/>
        <w:ind w:firstLine="480" w:firstLineChars="20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t>①</w:t>
      </w:r>
      <w:r>
        <w:rPr>
          <w:rFonts w:hint="eastAsia" w:ascii="宋体" w:hAnsi="宋体" w:eastAsia="宋体" w:cs="宋体"/>
          <w:b w:val="0"/>
          <w:bCs w:val="0"/>
          <w:color w:val="auto"/>
          <w:sz w:val="24"/>
          <w:szCs w:val="24"/>
          <w:highlight w:val="none"/>
          <w:lang w:val="en-US" w:eastAsia="zh-CN"/>
        </w:rPr>
        <w:t>若因审计原因无法出具2025年度财务报告，</w:t>
      </w:r>
      <w:r>
        <w:rPr>
          <w:rFonts w:hint="eastAsia" w:ascii="宋体" w:hAnsi="宋体" w:eastAsia="宋体" w:cs="宋体"/>
          <w:b w:val="0"/>
          <w:bCs w:val="0"/>
          <w:color w:val="auto"/>
          <w:sz w:val="24"/>
          <w:szCs w:val="24"/>
          <w:highlight w:val="none"/>
        </w:rPr>
        <w:t>须出具加盖本单位财务专用章的情况说明（明确无法出具的具体原因）</w:t>
      </w:r>
      <w:r>
        <w:rPr>
          <w:rFonts w:hint="eastAsia" w:ascii="宋体" w:hAnsi="宋体" w:eastAsia="宋体" w:cs="宋体"/>
          <w:b w:val="0"/>
          <w:bCs w:val="0"/>
          <w:color w:val="auto"/>
          <w:sz w:val="24"/>
          <w:szCs w:val="24"/>
          <w:highlight w:val="none"/>
          <w:lang w:val="en-US" w:eastAsia="zh-CN"/>
        </w:rPr>
        <w:t>且提供经财务负责人签字并加盖本单位财务专用章的2024年</w:t>
      </w:r>
      <w:r>
        <w:rPr>
          <w:rFonts w:hint="eastAsia" w:ascii="宋体" w:hAnsi="宋体" w:eastAsia="宋体" w:cs="宋体"/>
          <w:b w:val="0"/>
          <w:bCs w:val="0"/>
          <w:color w:val="auto"/>
          <w:sz w:val="24"/>
          <w:szCs w:val="24"/>
          <w:highlight w:val="none"/>
        </w:rPr>
        <w:t>资产负债率</w:t>
      </w:r>
      <w:r>
        <w:rPr>
          <w:rFonts w:hint="eastAsia" w:ascii="宋体" w:hAnsi="宋体" w:eastAsia="宋体" w:cs="宋体"/>
          <w:b w:val="0"/>
          <w:bCs w:val="0"/>
          <w:color w:val="auto"/>
          <w:sz w:val="24"/>
          <w:szCs w:val="24"/>
          <w:highlight w:val="none"/>
          <w:lang w:val="en-US" w:eastAsia="zh-CN"/>
        </w:rPr>
        <w:t>说明</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eastAsia="zh-CN"/>
        </w:rPr>
        <w:t>；</w:t>
      </w:r>
    </w:p>
    <w:p w14:paraId="49C87AE1">
      <w:pPr>
        <w:snapToGrid w:val="0"/>
        <w:spacing w:line="360" w:lineRule="auto"/>
        <w:ind w:firstLine="480" w:firstLineChars="20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t>②</w:t>
      </w:r>
      <w:r>
        <w:rPr>
          <w:rFonts w:hint="eastAsia" w:ascii="宋体" w:hAnsi="宋体" w:eastAsia="宋体" w:cs="宋体"/>
          <w:b w:val="0"/>
          <w:bCs w:val="0"/>
          <w:color w:val="auto"/>
          <w:sz w:val="24"/>
          <w:szCs w:val="24"/>
          <w:highlight w:val="none"/>
          <w:lang w:val="en-US" w:eastAsia="zh-CN"/>
        </w:rPr>
        <w:t>若资产负债率高于75%，可由股东、集团公司或集团内同等级别公司提供履约担保函。</w:t>
      </w:r>
    </w:p>
    <w:p w14:paraId="796A1A56">
      <w:pPr>
        <w:snapToGrid w:val="0"/>
        <w:spacing w:line="360" w:lineRule="auto"/>
        <w:ind w:firstLine="482"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3.1.3业绩要求：（中粮可口可乐采购包01-10，中粮家佳康采购包11-29，中粮油脂采购包49，中粮粮谷采购包57、71，中粮贸易采购包32-48，不适用本条业绩要求，具体要求详见各包专用资格条件）</w:t>
      </w:r>
    </w:p>
    <w:p w14:paraId="0C817B2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（1）</w:t>
      </w:r>
      <w:r>
        <w:rPr>
          <w:rFonts w:hint="eastAsia" w:ascii="宋体" w:hAnsi="宋体" w:eastAsia="宋体" w:cs="宋体"/>
          <w:color w:val="auto"/>
          <w:sz w:val="24"/>
          <w:szCs w:val="24"/>
          <w:highlight w:val="none"/>
          <w:lang w:eastAsia="zh-CN"/>
        </w:rPr>
        <w:t>供应商近三年（自2023年1月1日起至本项目响应截止之日止，时间以服务时间为准）须具有</w:t>
      </w:r>
      <w:r>
        <w:rPr>
          <w:rFonts w:hint="eastAsia" w:ascii="宋体" w:hAnsi="宋体" w:eastAsia="宋体" w:cs="宋体"/>
          <w:color w:val="auto"/>
          <w:sz w:val="24"/>
          <w:szCs w:val="24"/>
          <w:highlight w:val="none"/>
          <w:lang w:val="en-US" w:eastAsia="zh-CN"/>
        </w:rPr>
        <w:t>所参与采购包运输的品类或粮油、食品、饮料、乳制品、调味品、快消费品行业客户等食品类产品或食品类原料的货物运输类服务经验</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供应商须提供不少于2份及以上货物运输类业绩证明材料，每份业绩对应的服务金额累计不低于20万元（金额统计以对应合同项下开票日期在2023年1月1日（含当日）及以后的发票金额累计计算为准）。证明材料须包含：业绩合同复印件及对应本合同下产生的发票复印件</w:t>
      </w:r>
      <w:r>
        <w:rPr>
          <w:rFonts w:hint="eastAsia" w:ascii="宋体" w:hAnsi="宋体" w:eastAsia="宋体" w:cs="宋体"/>
          <w:color w:val="auto"/>
          <w:sz w:val="24"/>
          <w:szCs w:val="24"/>
          <w:highlight w:val="none"/>
        </w:rPr>
        <w:t>（业绩列表</w:t>
      </w:r>
      <w:r>
        <w:rPr>
          <w:rFonts w:hint="eastAsia" w:ascii="宋体" w:hAnsi="宋体" w:eastAsia="宋体" w:cs="宋体"/>
          <w:color w:val="auto"/>
          <w:sz w:val="24"/>
          <w:szCs w:val="24"/>
          <w:highlight w:val="none"/>
          <w:lang w:eastAsia="zh-CN"/>
        </w:rPr>
        <w:t>，格式</w:t>
      </w:r>
      <w:r>
        <w:rPr>
          <w:rFonts w:hint="eastAsia" w:ascii="宋体" w:hAnsi="宋体" w:eastAsia="宋体" w:cs="宋体"/>
          <w:color w:val="auto"/>
          <w:sz w:val="24"/>
          <w:szCs w:val="24"/>
          <w:highlight w:val="none"/>
        </w:rPr>
        <w:t>详见附件</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p>
    <w:p w14:paraId="0EE82E4E">
      <w:pPr>
        <w:snapToGrid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注：</w:t>
      </w:r>
    </w:p>
    <w:p w14:paraId="7BAA58CF">
      <w:pPr>
        <w:snapToGrid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①</w:t>
      </w:r>
      <w:r>
        <w:rPr>
          <w:rFonts w:hint="eastAsia" w:ascii="宋体" w:hAnsi="宋体" w:eastAsia="宋体" w:cs="宋体"/>
          <w:color w:val="auto"/>
          <w:sz w:val="24"/>
          <w:szCs w:val="24"/>
          <w:highlight w:val="none"/>
          <w:lang w:val="en-US" w:eastAsia="zh-CN"/>
        </w:rPr>
        <w:t>供应商提供的发票须严格符合国家税务总局公告2015年第99号《关于停止使用货物运输业增值税专用发票有关问题的公告》中的发票开具及使用要求，不符合要求的发票视为无效发票。</w:t>
      </w:r>
    </w:p>
    <w:p w14:paraId="51B0D556">
      <w:pPr>
        <w:snapToGrid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②</w:t>
      </w:r>
      <w:r>
        <w:rPr>
          <w:rFonts w:hint="eastAsia" w:ascii="宋体" w:hAnsi="宋体" w:eastAsia="宋体" w:cs="宋体"/>
          <w:color w:val="auto"/>
          <w:sz w:val="24"/>
          <w:szCs w:val="24"/>
          <w:highlight w:val="none"/>
          <w:lang w:val="en-US" w:eastAsia="zh-CN"/>
        </w:rPr>
        <w:t>所提供发票如为电子发票的，优先提供从税务系统下载打印的原件复印件；无电子发票的，可提供纸质发票扫描件（清晰可辨）。所有提供的发票均须能在国家税务系统中查询核实，无法查询或查询信息与发票不符的，视为无效发票。</w:t>
      </w:r>
    </w:p>
    <w:p w14:paraId="334BE2CA">
      <w:pPr>
        <w:snapToGrid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③</w:t>
      </w:r>
      <w:r>
        <w:rPr>
          <w:rFonts w:hint="eastAsia" w:ascii="宋体" w:hAnsi="宋体" w:eastAsia="宋体" w:cs="宋体"/>
          <w:color w:val="auto"/>
          <w:sz w:val="24"/>
          <w:szCs w:val="24"/>
          <w:highlight w:val="none"/>
          <w:lang w:val="en-US" w:eastAsia="zh-CN"/>
        </w:rPr>
        <w:t>行业客户包括但不限于以下品牌：中粮、益海嘉里、可口可乐、康师傅、百事、娃哈哈、农夫山泉、怡宝、元气森林、蒙牛、伊利、华润啤酒、青岛啤酒、百威、雀巢、红牛、东鹏饮料、联合利华等。</w:t>
      </w:r>
    </w:p>
    <w:p w14:paraId="4ED8207A">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（2）</w:t>
      </w:r>
      <w:r>
        <w:rPr>
          <w:rFonts w:hint="eastAsia" w:ascii="宋体" w:hAnsi="宋体" w:eastAsia="宋体" w:cs="宋体"/>
          <w:color w:val="auto"/>
          <w:sz w:val="24"/>
          <w:szCs w:val="24"/>
          <w:highlight w:val="none"/>
          <w:lang w:eastAsia="zh-CN"/>
        </w:rPr>
        <w:t>提供2023年</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2025年运输明细账电脑截图（每年各提供1份任意月份截图，共3份），每页截图均须加盖</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lang w:eastAsia="zh-CN"/>
        </w:rPr>
        <w:t>公章；若</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lang w:eastAsia="zh-CN"/>
        </w:rPr>
        <w:t>成立不满3年，提供成立以来的资料。</w:t>
      </w:r>
      <w:r>
        <w:rPr>
          <w:rFonts w:hint="eastAsia" w:ascii="宋体" w:hAnsi="宋体" w:eastAsia="宋体" w:cs="宋体"/>
          <w:color w:val="auto"/>
          <w:sz w:val="24"/>
          <w:szCs w:val="24"/>
          <w:highlight w:val="none"/>
        </w:rPr>
        <w:t>证明材料要求</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提供对应合同下加盖公章的</w:t>
      </w:r>
      <w:r>
        <w:rPr>
          <w:rFonts w:hint="eastAsia" w:ascii="宋体" w:hAnsi="宋体" w:eastAsia="宋体" w:cs="宋体"/>
          <w:color w:val="auto"/>
          <w:sz w:val="24"/>
          <w:szCs w:val="24"/>
          <w:highlight w:val="none"/>
          <w:lang w:eastAsia="zh-CN"/>
        </w:rPr>
        <w:t>运输明细账截图。</w:t>
      </w:r>
    </w:p>
    <w:p w14:paraId="526D1D98">
      <w:pPr>
        <w:snapToGrid w:val="0"/>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3.1.4车辆要求：（中粮家佳康采购包11-29，中粮油脂采购包49，中粮粮谷采购包55、56、71、74，不适用本条车辆要求，具体要求详见各包专用资格条件）</w:t>
      </w:r>
    </w:p>
    <w:p w14:paraId="04882C05">
      <w:pPr>
        <w:snapToGrid w:val="0"/>
        <w:spacing w:line="360" w:lineRule="auto"/>
        <w:ind w:firstLine="480"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lang w:val="en-US" w:eastAsia="zh-CN"/>
        </w:rPr>
        <w:t>须</w:t>
      </w:r>
      <w:r>
        <w:rPr>
          <w:rFonts w:hint="eastAsia" w:ascii="宋体" w:hAnsi="宋体" w:eastAsia="宋体" w:cs="宋体"/>
          <w:color w:val="auto"/>
          <w:sz w:val="24"/>
          <w:szCs w:val="24"/>
          <w:highlight w:val="none"/>
        </w:rPr>
        <w:t>具有</w:t>
      </w:r>
      <w:r>
        <w:rPr>
          <w:rFonts w:hint="eastAsia" w:ascii="宋体" w:hAnsi="宋体" w:eastAsia="宋体" w:cs="宋体"/>
          <w:color w:val="auto"/>
          <w:sz w:val="24"/>
          <w:szCs w:val="24"/>
          <w:highlight w:val="none"/>
          <w:lang w:val="en-US" w:eastAsia="zh-CN"/>
        </w:rPr>
        <w:t>可控运营车辆</w:t>
      </w:r>
      <w:r>
        <w:rPr>
          <w:rFonts w:hint="eastAsia" w:ascii="宋体" w:hAnsi="宋体" w:eastAsia="宋体" w:cs="宋体"/>
          <w:color w:val="auto"/>
          <w:sz w:val="24"/>
          <w:szCs w:val="24"/>
          <w:highlight w:val="none"/>
        </w:rPr>
        <w:t>不低于5辆，且所有提供服务的车辆须配备车辆GPS或北斗定位设备</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车辆符合排放标准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需提供车辆清单</w:t>
      </w:r>
      <w:r>
        <w:rPr>
          <w:rFonts w:hint="eastAsia" w:ascii="宋体" w:hAnsi="宋体" w:eastAsia="宋体" w:cs="宋体"/>
          <w:color w:val="auto"/>
          <w:sz w:val="24"/>
          <w:szCs w:val="24"/>
          <w:highlight w:val="none"/>
          <w:lang w:val="en-US" w:eastAsia="zh-CN"/>
        </w:rPr>
        <w:t>及</w:t>
      </w:r>
      <w:r>
        <w:rPr>
          <w:rFonts w:hint="eastAsia" w:ascii="宋体" w:hAnsi="宋体" w:eastAsia="宋体" w:cs="宋体"/>
          <w:color w:val="auto"/>
          <w:sz w:val="24"/>
          <w:szCs w:val="24"/>
          <w:highlight w:val="none"/>
        </w:rPr>
        <w:t>车辆配备GPS或北斗定位设备的需提供承诺函</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参与谈判的委托运输资质供应商，不强制要求具备自营车辆，但须提供有效的委托运输资质证明文件及固定办公场所证明材料。</w:t>
      </w:r>
      <w:r>
        <w:rPr>
          <w:rFonts w:hint="eastAsia" w:ascii="宋体" w:hAnsi="宋体" w:eastAsia="宋体" w:cs="宋体"/>
          <w:b w:val="0"/>
          <w:bCs w:val="0"/>
          <w:color w:val="auto"/>
          <w:sz w:val="24"/>
          <w:szCs w:val="24"/>
          <w:highlight w:val="none"/>
        </w:rPr>
        <w:t>（a.</w:t>
      </w:r>
      <w:r>
        <w:rPr>
          <w:rFonts w:hint="eastAsia" w:ascii="宋体" w:hAnsi="宋体" w:eastAsia="宋体" w:cs="宋体"/>
          <w:b w:val="0"/>
          <w:bCs w:val="0"/>
          <w:color w:val="auto"/>
          <w:sz w:val="24"/>
          <w:szCs w:val="24"/>
          <w:highlight w:val="none"/>
          <w:lang w:val="en-US" w:eastAsia="zh-CN"/>
        </w:rPr>
        <w:t>自有车辆：满足以下任一条件的，认定为自有车辆：本企业名下（包含本企业分公司、本企业100%控股的子公司及本企业同一集团下的子公司）自有产权车辆；本企业租赁且控制的车辆；本企业法定代表人或其配偶名下的车辆</w:t>
      </w:r>
      <w:r>
        <w:rPr>
          <w:rFonts w:hint="eastAsia" w:ascii="宋体" w:hAnsi="宋体" w:eastAsia="宋体" w:cs="宋体"/>
          <w:b w:val="0"/>
          <w:bCs w:val="0"/>
          <w:color w:val="auto"/>
          <w:sz w:val="24"/>
          <w:szCs w:val="24"/>
          <w:highlight w:val="none"/>
        </w:rPr>
        <w:t>；b.</w:t>
      </w:r>
      <w:r>
        <w:rPr>
          <w:rFonts w:hint="eastAsia" w:ascii="宋体" w:hAnsi="宋体" w:eastAsia="宋体" w:cs="宋体"/>
          <w:b w:val="0"/>
          <w:bCs w:val="0"/>
          <w:color w:val="auto"/>
          <w:sz w:val="24"/>
          <w:szCs w:val="24"/>
          <w:highlight w:val="none"/>
          <w:lang w:val="en-US" w:eastAsia="zh-CN"/>
        </w:rPr>
        <w:t>协议车辆：以本企业名义与车队或个人签订合作协议，且协议期在有效期内。（包括本企业100%控股的子公司、同一集团下的不同子公司和其他具有法人资格的公司签订合作协议））。c</w:t>
      </w:r>
      <w:r>
        <w:rPr>
          <w:rFonts w:hint="eastAsia" w:ascii="宋体" w:hAnsi="宋体" w:eastAsia="宋体" w:cs="宋体"/>
          <w:b w:val="0"/>
          <w:bCs w:val="0"/>
          <w:color w:val="auto"/>
          <w:sz w:val="24"/>
          <w:szCs w:val="24"/>
          <w:highlight w:val="none"/>
        </w:rPr>
        <w:t>.若为委托运输</w:t>
      </w:r>
      <w:r>
        <w:rPr>
          <w:rFonts w:hint="eastAsia" w:ascii="宋体" w:hAnsi="宋体" w:eastAsia="宋体" w:cs="宋体"/>
          <w:b w:val="0"/>
          <w:bCs w:val="0"/>
          <w:color w:val="auto"/>
          <w:sz w:val="24"/>
          <w:szCs w:val="24"/>
          <w:highlight w:val="none"/>
          <w:lang w:val="en-US" w:eastAsia="zh-CN"/>
        </w:rPr>
        <w:t>的</w:t>
      </w:r>
      <w:r>
        <w:rPr>
          <w:rFonts w:hint="eastAsia" w:ascii="宋体" w:hAnsi="宋体" w:eastAsia="宋体" w:cs="宋体"/>
          <w:b w:val="0"/>
          <w:bCs w:val="0"/>
          <w:color w:val="auto"/>
          <w:sz w:val="24"/>
          <w:szCs w:val="24"/>
          <w:highlight w:val="none"/>
        </w:rPr>
        <w:t>须提供无车承运人资质；</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格式</w:t>
      </w:r>
      <w:r>
        <w:rPr>
          <w:rFonts w:hint="eastAsia" w:ascii="宋体" w:hAnsi="宋体" w:eastAsia="宋体" w:cs="宋体"/>
          <w:color w:val="auto"/>
          <w:sz w:val="24"/>
          <w:szCs w:val="24"/>
          <w:highlight w:val="none"/>
        </w:rPr>
        <w:t>详见附件</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w:t>
      </w:r>
    </w:p>
    <w:p w14:paraId="291EBFD5">
      <w:pPr>
        <w:snapToGrid w:val="0"/>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注：</w:t>
      </w:r>
    </w:p>
    <w:p w14:paraId="5B0FBF8F">
      <w:pPr>
        <w:snapToGrid w:val="0"/>
        <w:spacing w:line="360" w:lineRule="auto"/>
        <w:ind w:firstLine="480" w:firstLineChars="200"/>
        <w:rPr>
          <w:rFonts w:hint="eastAsia" w:ascii="宋体" w:hAnsi="宋体" w:eastAsia="宋体" w:cs="宋体"/>
          <w:b w:val="0"/>
          <w:color w:val="auto"/>
          <w:sz w:val="24"/>
          <w:szCs w:val="24"/>
          <w:highlight w:val="none"/>
          <w:lang w:val="en-US" w:eastAsia="zh-CN"/>
        </w:rPr>
      </w:pPr>
      <w:r>
        <w:rPr>
          <w:rFonts w:hint="eastAsia" w:ascii="宋体" w:hAnsi="宋体" w:eastAsia="宋体" w:cs="宋体"/>
          <w:color w:val="auto"/>
          <w:sz w:val="24"/>
          <w:szCs w:val="24"/>
          <w:highlight w:val="none"/>
        </w:rPr>
        <w:t>①</w:t>
      </w:r>
      <w:r>
        <w:rPr>
          <w:rFonts w:hint="eastAsia" w:ascii="宋体" w:hAnsi="宋体" w:eastAsia="宋体" w:cs="宋体"/>
          <w:color w:val="auto"/>
          <w:sz w:val="24"/>
          <w:szCs w:val="24"/>
          <w:highlight w:val="none"/>
          <w:lang w:val="en-US" w:eastAsia="zh-CN"/>
        </w:rPr>
        <w:t>若为本企业名下，须提供车辆行驶证复印件，并能体现所有人为本企业；分公司、子公司及及同一集团下的子公司的情况，提供说明材料及后附天眼查或企查查股权证明截图</w:t>
      </w:r>
      <w:r>
        <w:rPr>
          <w:rFonts w:hint="eastAsia" w:ascii="宋体" w:hAnsi="宋体" w:eastAsia="宋体" w:cs="宋体"/>
          <w:color w:val="auto"/>
          <w:sz w:val="24"/>
          <w:szCs w:val="24"/>
          <w:highlight w:val="none"/>
        </w:rPr>
        <w:t>；</w:t>
      </w:r>
    </w:p>
    <w:p w14:paraId="0F6FDAF2">
      <w:pPr>
        <w:snapToGrid w:val="0"/>
        <w:spacing w:line="360" w:lineRule="auto"/>
        <w:ind w:firstLine="480" w:firstLineChars="200"/>
        <w:rPr>
          <w:rFonts w:hint="eastAsia" w:ascii="宋体" w:hAnsi="宋体" w:eastAsia="宋体" w:cs="宋体"/>
          <w:b w:val="0"/>
          <w:color w:val="auto"/>
          <w:sz w:val="24"/>
          <w:szCs w:val="24"/>
          <w:highlight w:val="none"/>
          <w:lang w:val="en-US" w:eastAsia="zh-CN"/>
        </w:rPr>
      </w:pPr>
      <w:r>
        <w:rPr>
          <w:rFonts w:hint="eastAsia" w:ascii="宋体" w:hAnsi="宋体" w:eastAsia="宋体" w:cs="宋体"/>
          <w:color w:val="auto"/>
          <w:sz w:val="24"/>
          <w:szCs w:val="24"/>
          <w:highlight w:val="none"/>
        </w:rPr>
        <w:t>②若为租赁车辆，须提供加盖公章的租赁协议及车辆清单</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租赁个人车辆的，须提供双方签字确认的租赁协议及车辆清单</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，同时提供结算发票或银行付款凭证，且租赁期限处于有效期内</w:t>
      </w:r>
      <w:r>
        <w:rPr>
          <w:rFonts w:hint="eastAsia" w:ascii="宋体" w:hAnsi="宋体" w:eastAsia="宋体" w:cs="宋体"/>
          <w:color w:val="auto"/>
          <w:sz w:val="24"/>
          <w:szCs w:val="24"/>
          <w:highlight w:val="none"/>
          <w:lang w:eastAsia="zh-CN"/>
        </w:rPr>
        <w:t>；</w:t>
      </w:r>
    </w:p>
    <w:p w14:paraId="631CDD3F">
      <w:pPr>
        <w:snapToGrid w:val="0"/>
        <w:spacing w:line="360" w:lineRule="auto"/>
        <w:ind w:firstLine="480" w:firstLineChars="200"/>
        <w:rPr>
          <w:rFonts w:hint="eastAsia" w:ascii="宋体" w:hAnsi="宋体" w:eastAsia="宋体" w:cs="宋体"/>
          <w:b w:val="0"/>
          <w:color w:val="auto"/>
          <w:sz w:val="24"/>
          <w:szCs w:val="24"/>
          <w:highlight w:val="none"/>
          <w:lang w:val="en-US" w:eastAsia="zh-CN"/>
        </w:rPr>
      </w:pPr>
      <w:r>
        <w:rPr>
          <w:rFonts w:hint="eastAsia" w:ascii="宋体" w:hAnsi="宋体" w:eastAsia="宋体" w:cs="宋体"/>
          <w:color w:val="auto"/>
          <w:sz w:val="24"/>
          <w:szCs w:val="24"/>
          <w:highlight w:val="none"/>
        </w:rPr>
        <w:t>③</w:t>
      </w:r>
      <w:r>
        <w:rPr>
          <w:rFonts w:hint="eastAsia" w:ascii="宋体" w:hAnsi="宋体" w:eastAsia="宋体" w:cs="宋体"/>
          <w:b w:val="0"/>
          <w:color w:val="auto"/>
          <w:sz w:val="24"/>
          <w:szCs w:val="24"/>
          <w:highlight w:val="none"/>
          <w:lang w:val="en-US" w:eastAsia="zh-CN"/>
        </w:rPr>
        <w:t>若为法定代表人或其配偶名下的，须提供夫妻有效关系证明且提供所有人为法定代表人或其配偶的行驶证复印件；</w:t>
      </w:r>
    </w:p>
    <w:p w14:paraId="0692D950">
      <w:pPr>
        <w:snapToGrid w:val="0"/>
        <w:spacing w:line="360" w:lineRule="auto"/>
        <w:ind w:firstLine="480" w:firstLineChars="200"/>
        <w:rPr>
          <w:rFonts w:hint="eastAsia" w:ascii="宋体" w:hAnsi="宋体" w:eastAsia="宋体" w:cs="宋体"/>
          <w:b w:val="0"/>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④</w:t>
      </w:r>
      <w:r>
        <w:rPr>
          <w:rFonts w:hint="eastAsia" w:ascii="宋体" w:hAnsi="宋体" w:eastAsia="宋体" w:cs="宋体"/>
          <w:b w:val="0"/>
          <w:color w:val="auto"/>
          <w:sz w:val="24"/>
          <w:szCs w:val="24"/>
          <w:highlight w:val="none"/>
          <w:lang w:val="en-US" w:eastAsia="zh-CN"/>
        </w:rPr>
        <w:t>若为协议车辆，须提供合作协议且协议上应有盖章的车辆清单</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个人车辆的，须提供双方签字确认的</w:t>
      </w:r>
      <w:r>
        <w:rPr>
          <w:rFonts w:hint="eastAsia" w:ascii="宋体" w:hAnsi="宋体" w:eastAsia="宋体" w:cs="宋体"/>
          <w:color w:val="auto"/>
          <w:sz w:val="24"/>
          <w:szCs w:val="24"/>
          <w:highlight w:val="none"/>
          <w:lang w:val="en-US" w:eastAsia="zh-CN"/>
        </w:rPr>
        <w:t>合作</w:t>
      </w:r>
      <w:r>
        <w:rPr>
          <w:rFonts w:hint="eastAsia" w:ascii="宋体" w:hAnsi="宋体" w:eastAsia="宋体" w:cs="宋体"/>
          <w:color w:val="auto"/>
          <w:sz w:val="24"/>
          <w:szCs w:val="24"/>
          <w:highlight w:val="none"/>
        </w:rPr>
        <w:t>协议及车辆清单</w:t>
      </w:r>
      <w:r>
        <w:rPr>
          <w:rFonts w:hint="eastAsia" w:ascii="宋体" w:hAnsi="宋体" w:eastAsia="宋体" w:cs="宋体"/>
          <w:color w:val="auto"/>
          <w:sz w:val="24"/>
          <w:szCs w:val="24"/>
          <w:highlight w:val="none"/>
          <w:lang w:eastAsia="zh-CN"/>
        </w:rPr>
        <w:t>）</w:t>
      </w:r>
      <w:r>
        <w:rPr>
          <w:rFonts w:hint="eastAsia" w:ascii="宋体" w:hAnsi="宋体" w:eastAsia="宋体" w:cs="宋体"/>
          <w:b w:val="0"/>
          <w:color w:val="auto"/>
          <w:sz w:val="24"/>
          <w:szCs w:val="24"/>
          <w:highlight w:val="none"/>
          <w:lang w:val="en-US" w:eastAsia="zh-CN"/>
        </w:rPr>
        <w:t>，</w:t>
      </w:r>
      <w:r>
        <w:rPr>
          <w:rFonts w:hint="eastAsia" w:ascii="宋体" w:hAnsi="宋体" w:eastAsia="宋体" w:cs="宋体"/>
          <w:color w:val="auto"/>
          <w:sz w:val="24"/>
          <w:szCs w:val="24"/>
          <w:highlight w:val="none"/>
        </w:rPr>
        <w:t>同时提供</w:t>
      </w:r>
      <w:r>
        <w:rPr>
          <w:rFonts w:hint="eastAsia" w:ascii="宋体" w:hAnsi="宋体" w:eastAsia="宋体" w:cs="宋体"/>
          <w:b w:val="0"/>
          <w:color w:val="auto"/>
          <w:sz w:val="24"/>
          <w:szCs w:val="24"/>
          <w:highlight w:val="none"/>
          <w:lang w:val="en-US" w:eastAsia="zh-CN"/>
        </w:rPr>
        <w:t>结算发票或银行付款记录且协议期在有效期限内；</w:t>
      </w:r>
    </w:p>
    <w:p w14:paraId="3CDD82B1">
      <w:pPr>
        <w:snapToGrid w:val="0"/>
        <w:spacing w:line="360" w:lineRule="auto"/>
        <w:ind w:firstLine="480" w:firstLineChars="200"/>
        <w:rPr>
          <w:rFonts w:hint="eastAsia" w:ascii="宋体" w:hAnsi="宋体" w:eastAsia="宋体" w:cs="宋体"/>
          <w:b w:val="0"/>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⑤车辆行驶证合法有效，2025年1月1日以来年检或免检合格状态在有效期内；</w:t>
      </w:r>
    </w:p>
    <w:p w14:paraId="3472F66A">
      <w:pPr>
        <w:snapToGrid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⑥委托运输的须提供本单位的《道路运输经营许可证》且经营范围明确有“网络货运”或“网络货运承运平台经营”。</w:t>
      </w:r>
    </w:p>
    <w:p w14:paraId="79FD2BDD">
      <w:pPr>
        <w:snapToGrid w:val="0"/>
        <w:spacing w:line="360" w:lineRule="auto"/>
        <w:ind w:firstLine="482"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3.1.5信誉要求：</w:t>
      </w:r>
      <w:r>
        <w:rPr>
          <w:rFonts w:hint="eastAsia" w:ascii="宋体" w:hAnsi="宋体" w:eastAsia="宋体" w:cs="宋体"/>
          <w:color w:val="auto"/>
          <w:sz w:val="24"/>
          <w:szCs w:val="24"/>
          <w:highlight w:val="none"/>
          <w:lang w:val="en-US" w:eastAsia="zh-CN"/>
        </w:rPr>
        <w:t>供应商不得存在以下不良信用记录情形（提供承诺函，格式详见附件6）：</w:t>
      </w:r>
    </w:p>
    <w:p w14:paraId="41C0E1FA">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(1)</w:t>
      </w:r>
      <w:r>
        <w:rPr>
          <w:rFonts w:hint="eastAsia" w:ascii="宋体" w:hAnsi="宋体" w:eastAsia="宋体" w:cs="宋体"/>
          <w:color w:val="auto"/>
          <w:sz w:val="24"/>
          <w:szCs w:val="24"/>
          <w:highlight w:val="none"/>
        </w:rPr>
        <w:t>被人民法院列入失信被执行人名单的（以中国执行信息公开网查询为准）；</w:t>
      </w:r>
    </w:p>
    <w:p w14:paraId="68BB4979">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(2)</w:t>
      </w:r>
      <w:r>
        <w:rPr>
          <w:rFonts w:hint="eastAsia" w:ascii="宋体" w:hAnsi="宋体" w:eastAsia="宋体" w:cs="宋体"/>
          <w:color w:val="auto"/>
          <w:sz w:val="24"/>
          <w:szCs w:val="24"/>
          <w:highlight w:val="none"/>
        </w:rPr>
        <w:t>被列入重大税收违法案件当事人（重大税收违法失信主体）名单的（以信用中国网站查询为准）；</w:t>
      </w:r>
    </w:p>
    <w:p w14:paraId="2111DBC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(3)</w:t>
      </w:r>
      <w:r>
        <w:rPr>
          <w:rFonts w:hint="eastAsia" w:ascii="宋体" w:hAnsi="宋体" w:eastAsia="宋体" w:cs="宋体"/>
          <w:color w:val="auto"/>
          <w:sz w:val="24"/>
          <w:szCs w:val="24"/>
          <w:highlight w:val="none"/>
        </w:rPr>
        <w:t>被市场监督管理部门（或工商行政管理部门）在全国企业信用信息公示系统中列入严重违法失信企业名单（以国家企业信用信息公示系统查询为准）。</w:t>
      </w:r>
    </w:p>
    <w:p w14:paraId="0BE6D77E">
      <w:pPr>
        <w:snapToGrid w:val="0"/>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3.1.6其他要求</w:t>
      </w:r>
      <w:r>
        <w:rPr>
          <w:rFonts w:hint="eastAsia" w:ascii="宋体" w:hAnsi="宋体" w:eastAsia="宋体" w:cs="宋体"/>
          <w:color w:val="auto"/>
          <w:sz w:val="24"/>
          <w:szCs w:val="24"/>
          <w:highlight w:val="none"/>
        </w:rPr>
        <w:t>（提供承诺函，格式详见附件</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b/>
          <w:bCs/>
          <w:color w:val="auto"/>
          <w:sz w:val="24"/>
          <w:szCs w:val="24"/>
          <w:highlight w:val="none"/>
          <w:lang w:val="en-US" w:eastAsia="zh-CN"/>
        </w:rPr>
        <w:t>：</w:t>
      </w:r>
    </w:p>
    <w:p w14:paraId="66F1A77F">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（1）供应商须购买全年货物运输保险或承运人险，保额不得低于200万元；也可以每台车分别购买年度货物运输险或承运人险累计达到200万元（需提供相关保险证明材料，注：单次运输的货物运输保险不计入）；</w:t>
      </w:r>
    </w:p>
    <w:p w14:paraId="23194CB2">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（2）承诺国家部委等行业主管机关对物流业务工作有新的管理规定或要求的，遵照新规定或新要求执行；</w:t>
      </w:r>
    </w:p>
    <w:p w14:paraId="4793CCA9">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w:t>
      </w:r>
      <w:r>
        <w:rPr>
          <w:rFonts w:hint="eastAsia" w:ascii="宋体" w:hAnsi="宋体" w:eastAsia="宋体" w:cs="宋体"/>
          <w:color w:val="auto"/>
          <w:sz w:val="24"/>
          <w:szCs w:val="24"/>
          <w:highlight w:val="none"/>
        </w:rPr>
        <w:t>若运输车辆为装载食品或食品原料的专用容器，不得使用非食品、非食品原料容器的运输工具，不得与非食品、非食品原料容器的其他运输工具混用、混装</w:t>
      </w:r>
      <w:r>
        <w:rPr>
          <w:rFonts w:hint="eastAsia" w:ascii="宋体" w:hAnsi="宋体" w:eastAsia="宋体" w:cs="宋体"/>
          <w:color w:val="auto"/>
          <w:sz w:val="24"/>
          <w:szCs w:val="24"/>
          <w:highlight w:val="none"/>
          <w:lang w:eastAsia="zh-CN"/>
        </w:rPr>
        <w:t>；</w:t>
      </w:r>
    </w:p>
    <w:p w14:paraId="2F6BB4DC">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（4）承诺已知晓《关于中粮集团汽运集采项目供应商违约情况的处理意见》。</w:t>
      </w:r>
    </w:p>
    <w:p w14:paraId="47788021">
      <w:pPr>
        <w:snapToGrid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3.1.7供应商不得存在下列情形之一（提供承诺函，格式详见附件7）：</w:t>
      </w:r>
    </w:p>
    <w:p w14:paraId="5B9D674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（1）处于被责令停产停业、暂扣或者吊销执照、暂扣或者吊销许可证、吊销资质证书状态；</w:t>
      </w:r>
    </w:p>
    <w:p w14:paraId="21C6F590">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（2）进入清算程序，或被宣告破产，或其他丧失履约能力的情形；</w:t>
      </w:r>
    </w:p>
    <w:p w14:paraId="137891D6">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（3）被中粮集团、中粮各专业化公司列入黑名单或惩戒名单（被列入专业化公司黑名单的不得向相应的专业化公司采购包进行报价）；</w:t>
      </w:r>
    </w:p>
    <w:p w14:paraId="38E74996">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（4）公司董事、监事、高管人员与中粮人员有亲属关系；</w:t>
      </w:r>
    </w:p>
    <w:p w14:paraId="7D481362">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（5）公司董事、监事、高管人员没有吸毒、赌博等不良嗜好，法定代表人存在失信行为或负面舆论事件；</w:t>
      </w:r>
    </w:p>
    <w:p w14:paraId="6FB6931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（6）向中粮相关人员及亲属提供贵重礼品、回扣、礼金或有价证券、佣金等任何形式的商业贿赂行为；</w:t>
      </w:r>
    </w:p>
    <w:p w14:paraId="217928CB">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（7）法定代表人为同一个的两个及两个以上法人，母公司、全资子公司及其控股公司，参加此项目同一采购包、运输线路的谈判；</w:t>
      </w:r>
    </w:p>
    <w:p w14:paraId="04C44F2B">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（8）与其他供应商在此项目同一采购包、运输线路上串通、骗取成交的行为。</w:t>
      </w:r>
    </w:p>
    <w:p w14:paraId="0C12F7AC">
      <w:pPr>
        <w:adjustRightInd w:val="0"/>
        <w:snapToGrid w:val="0"/>
        <w:spacing w:line="360" w:lineRule="auto"/>
        <w:ind w:firstLine="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highlight w:val="none"/>
        </w:rPr>
        <w:t>3.2专用资格要求：</w:t>
      </w:r>
      <w:r>
        <w:rPr>
          <w:rFonts w:hint="eastAsia" w:ascii="宋体" w:hAnsi="宋体" w:eastAsia="宋体" w:cs="宋体"/>
          <w:b/>
          <w:bCs/>
          <w:color w:val="auto"/>
          <w:sz w:val="24"/>
          <w:szCs w:val="24"/>
          <w:highlight w:val="none"/>
        </w:rPr>
        <w:t>参与涉及以下专业化公司采购包的供应商，在满足3.1基础上</w:t>
      </w:r>
      <w:r>
        <w:rPr>
          <w:rFonts w:hint="eastAsia" w:ascii="宋体" w:hAnsi="宋体" w:eastAsia="宋体" w:cs="宋体"/>
          <w:b/>
          <w:bCs/>
          <w:color w:val="auto"/>
          <w:sz w:val="24"/>
          <w:szCs w:val="24"/>
          <w:highlight w:val="none"/>
          <w:lang w:eastAsia="zh-CN"/>
        </w:rPr>
        <w:t>（专用资格要求中如有与通用资格要求不一致之处，以专用资格要求为准）</w:t>
      </w:r>
      <w:r>
        <w:rPr>
          <w:rFonts w:hint="eastAsia" w:ascii="宋体" w:hAnsi="宋体" w:eastAsia="宋体" w:cs="宋体"/>
          <w:b/>
          <w:bCs/>
          <w:color w:val="auto"/>
          <w:sz w:val="24"/>
          <w:szCs w:val="24"/>
          <w:highlight w:val="none"/>
        </w:rPr>
        <w:t>，需满足本项对应</w:t>
      </w:r>
      <w:r>
        <w:rPr>
          <w:rFonts w:hint="eastAsia" w:ascii="宋体" w:hAnsi="宋体" w:eastAsia="宋体" w:cs="宋体"/>
          <w:b/>
          <w:bCs/>
          <w:color w:val="auto"/>
          <w:sz w:val="24"/>
          <w:szCs w:val="24"/>
          <w:highlight w:val="none"/>
          <w:lang w:val="en-US" w:eastAsia="zh-CN"/>
        </w:rPr>
        <w:t>专用</w:t>
      </w:r>
      <w:r>
        <w:rPr>
          <w:rFonts w:hint="eastAsia" w:ascii="宋体" w:hAnsi="宋体" w:eastAsia="宋体" w:cs="宋体"/>
          <w:b/>
          <w:bCs/>
          <w:color w:val="auto"/>
          <w:sz w:val="24"/>
          <w:szCs w:val="24"/>
          <w:highlight w:val="none"/>
        </w:rPr>
        <w:t>要求，详见下列说明：</w:t>
      </w:r>
    </w:p>
    <w:tbl>
      <w:tblPr>
        <w:tblStyle w:val="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0"/>
        <w:gridCol w:w="929"/>
        <w:gridCol w:w="6253"/>
      </w:tblGrid>
      <w:tr w14:paraId="6B7A3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blHeader/>
          <w:jc w:val="center"/>
        </w:trPr>
        <w:tc>
          <w:tcPr>
            <w:tcW w:w="786" w:type="pct"/>
            <w:noWrap w:val="0"/>
            <w:vAlign w:val="center"/>
          </w:tcPr>
          <w:p w14:paraId="4D91A594">
            <w:pPr>
              <w:adjustRightInd w:val="0"/>
              <w:snapToGrid w:val="0"/>
              <w:jc w:val="center"/>
              <w:rPr>
                <w:rFonts w:hint="eastAsia" w:ascii="宋体" w:hAnsi="宋体" w:eastAsia="宋体" w:cs="宋体"/>
                <w:b/>
                <w:bCs/>
                <w:color w:val="auto"/>
                <w:szCs w:val="21"/>
                <w:highlight w:val="none"/>
              </w:rPr>
            </w:pPr>
            <w:bookmarkStart w:id="50" w:name="_GoBack"/>
            <w:r>
              <w:rPr>
                <w:rFonts w:hint="eastAsia" w:ascii="宋体" w:hAnsi="宋体" w:eastAsia="宋体" w:cs="宋体"/>
                <w:b/>
                <w:bCs/>
                <w:color w:val="auto"/>
                <w:szCs w:val="21"/>
                <w:highlight w:val="none"/>
              </w:rPr>
              <w:t>涉及采购包号</w:t>
            </w:r>
          </w:p>
        </w:tc>
        <w:tc>
          <w:tcPr>
            <w:tcW w:w="545" w:type="pct"/>
            <w:noWrap w:val="0"/>
            <w:vAlign w:val="center"/>
          </w:tcPr>
          <w:p w14:paraId="5097DAD7">
            <w:pPr>
              <w:adjustRightInd w:val="0"/>
              <w:snapToGrid w:val="0"/>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专业化公司</w:t>
            </w:r>
          </w:p>
        </w:tc>
        <w:tc>
          <w:tcPr>
            <w:tcW w:w="3668" w:type="pct"/>
            <w:noWrap w:val="0"/>
            <w:vAlign w:val="center"/>
          </w:tcPr>
          <w:p w14:paraId="0C342DDA">
            <w:pPr>
              <w:adjustRightInd w:val="0"/>
              <w:snapToGrid w:val="0"/>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专用资格要求</w:t>
            </w:r>
          </w:p>
        </w:tc>
      </w:tr>
      <w:tr w14:paraId="2981B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6" w:type="pct"/>
            <w:noWrap w:val="0"/>
            <w:vAlign w:val="center"/>
          </w:tcPr>
          <w:p w14:paraId="30E5478C">
            <w:pPr>
              <w:adjustRightInd w:val="0"/>
              <w:snapToGrid w:val="0"/>
              <w:jc w:val="center"/>
              <w:rPr>
                <w:rFonts w:hint="eastAsia" w:ascii="宋体" w:hAnsi="宋体" w:eastAsia="宋体" w:cs="宋体"/>
                <w:b/>
                <w:bCs w:val="0"/>
                <w:color w:val="auto"/>
                <w:szCs w:val="21"/>
                <w:highlight w:val="none"/>
                <w:lang w:val="en-US" w:eastAsia="zh-CN"/>
              </w:rPr>
            </w:pPr>
            <w:r>
              <w:rPr>
                <w:rFonts w:hint="eastAsia" w:ascii="宋体" w:hAnsi="宋体" w:eastAsia="宋体" w:cs="宋体"/>
                <w:b/>
                <w:bCs w:val="0"/>
                <w:color w:val="auto"/>
                <w:szCs w:val="21"/>
                <w:highlight w:val="none"/>
              </w:rPr>
              <w:t>采购包</w:t>
            </w:r>
            <w:r>
              <w:rPr>
                <w:rFonts w:hint="eastAsia" w:ascii="宋体" w:hAnsi="宋体" w:eastAsia="宋体" w:cs="宋体"/>
                <w:b/>
                <w:bCs w:val="0"/>
                <w:color w:val="auto"/>
                <w:szCs w:val="21"/>
                <w:highlight w:val="none"/>
                <w:lang w:val="en-US" w:eastAsia="zh-CN"/>
              </w:rPr>
              <w:t>01-10</w:t>
            </w:r>
          </w:p>
        </w:tc>
        <w:tc>
          <w:tcPr>
            <w:tcW w:w="545" w:type="pct"/>
            <w:noWrap w:val="0"/>
            <w:vAlign w:val="center"/>
          </w:tcPr>
          <w:p w14:paraId="0B63BA84">
            <w:pPr>
              <w:snapToGri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中粮可口可乐</w:t>
            </w:r>
          </w:p>
        </w:tc>
        <w:tc>
          <w:tcPr>
            <w:tcW w:w="3668" w:type="pct"/>
            <w:noWrap w:val="0"/>
            <w:vAlign w:val="center"/>
          </w:tcPr>
          <w:p w14:paraId="28C6C91F">
            <w:pPr>
              <w:snapToGrid w:val="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lang w:val="en-US" w:eastAsia="zh-CN"/>
              </w:rPr>
              <w:t>1.供应商须具有1份及以上在采购包服务区域内、近3年（自2023年1月1日起至本项目响应截止之日止，时间以服务时间为准）为非酒精类瓶装饮料快消品企业提供产成品运输服务的相关业绩，且对应业绩合同的服务期限不低于9个月。注：</w:t>
            </w:r>
            <w:r>
              <w:rPr>
                <w:rFonts w:hint="eastAsia" w:ascii="宋体" w:hAnsi="宋体" w:eastAsia="宋体" w:cs="宋体"/>
                <w:b w:val="0"/>
                <w:bCs w:val="0"/>
                <w:color w:val="auto"/>
                <w:szCs w:val="21"/>
                <w:highlight w:val="none"/>
              </w:rPr>
              <w:t>需提供合同复印件或影印件</w:t>
            </w:r>
            <w:r>
              <w:rPr>
                <w:rFonts w:hint="eastAsia" w:ascii="宋体" w:hAnsi="宋体" w:eastAsia="宋体" w:cs="宋体"/>
                <w:b w:val="0"/>
                <w:bCs w:val="0"/>
                <w:color w:val="auto"/>
                <w:szCs w:val="21"/>
                <w:highlight w:val="none"/>
                <w:lang w:val="en-US" w:eastAsia="zh-CN"/>
              </w:rPr>
              <w:t>及其对应发票</w:t>
            </w:r>
            <w:r>
              <w:rPr>
                <w:rFonts w:hint="eastAsia" w:ascii="宋体" w:hAnsi="宋体" w:eastAsia="宋体" w:cs="宋体"/>
                <w:b w:val="0"/>
                <w:bCs w:val="0"/>
                <w:color w:val="auto"/>
                <w:szCs w:val="21"/>
                <w:highlight w:val="none"/>
              </w:rPr>
              <w:t>，需体现合同</w:t>
            </w:r>
            <w:r>
              <w:rPr>
                <w:rFonts w:hint="eastAsia" w:ascii="宋体" w:hAnsi="宋体" w:eastAsia="宋体" w:cs="宋体"/>
                <w:b w:val="0"/>
                <w:bCs w:val="0"/>
                <w:color w:val="auto"/>
                <w:szCs w:val="21"/>
                <w:highlight w:val="none"/>
                <w:lang w:val="en-US" w:eastAsia="zh-CN"/>
              </w:rPr>
              <w:t>签订时间、合同服务时间、服务运输地点</w:t>
            </w:r>
            <w:r>
              <w:rPr>
                <w:rFonts w:hint="eastAsia" w:ascii="宋体" w:hAnsi="宋体" w:eastAsia="宋体" w:cs="宋体"/>
                <w:b w:val="0"/>
                <w:bCs w:val="0"/>
                <w:color w:val="auto"/>
                <w:szCs w:val="21"/>
                <w:highlight w:val="none"/>
              </w:rPr>
              <w:t>。</w:t>
            </w:r>
          </w:p>
        </w:tc>
      </w:tr>
      <w:tr w14:paraId="7012F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6" w:type="pct"/>
            <w:noWrap w:val="0"/>
            <w:vAlign w:val="center"/>
          </w:tcPr>
          <w:p w14:paraId="476AEA46">
            <w:pPr>
              <w:adjustRightInd w:val="0"/>
              <w:snapToGrid w:val="0"/>
              <w:jc w:val="center"/>
              <w:rPr>
                <w:rFonts w:hint="eastAsia" w:ascii="宋体" w:hAnsi="宋体" w:eastAsia="宋体" w:cs="宋体"/>
                <w:b/>
                <w:bCs w:val="0"/>
                <w:color w:val="auto"/>
                <w:szCs w:val="21"/>
                <w:highlight w:val="none"/>
                <w:lang w:val="en-US" w:eastAsia="zh-CN"/>
              </w:rPr>
            </w:pPr>
            <w:r>
              <w:rPr>
                <w:rFonts w:hint="eastAsia" w:ascii="宋体" w:hAnsi="宋体" w:eastAsia="宋体" w:cs="宋体"/>
                <w:b/>
                <w:bCs w:val="0"/>
                <w:color w:val="auto"/>
                <w:szCs w:val="21"/>
                <w:highlight w:val="none"/>
              </w:rPr>
              <w:t>采购包</w:t>
            </w:r>
            <w:r>
              <w:rPr>
                <w:rFonts w:hint="eastAsia" w:ascii="宋体" w:hAnsi="宋体" w:eastAsia="宋体" w:cs="宋体"/>
                <w:b/>
                <w:bCs w:val="0"/>
                <w:color w:val="auto"/>
                <w:szCs w:val="21"/>
                <w:highlight w:val="none"/>
                <w:lang w:val="en-US" w:eastAsia="zh-CN"/>
              </w:rPr>
              <w:t>11-13</w:t>
            </w:r>
          </w:p>
        </w:tc>
        <w:tc>
          <w:tcPr>
            <w:tcW w:w="545" w:type="pct"/>
            <w:noWrap w:val="0"/>
            <w:vAlign w:val="center"/>
          </w:tcPr>
          <w:p w14:paraId="5F8CD39A">
            <w:pPr>
              <w:keepNext w:val="0"/>
              <w:keepLines w:val="0"/>
              <w:pageBreakBefore w:val="0"/>
              <w:widowControl w:val="0"/>
              <w:suppressLineNumbers w:val="0"/>
              <w:kinsoku/>
              <w:wordWrap/>
              <w:overflowPunct/>
              <w:topLinePunct w:val="0"/>
              <w:autoSpaceDE/>
              <w:autoSpaceDN/>
              <w:bidi w:val="0"/>
              <w:snapToGrid w:val="0"/>
              <w:spacing w:before="0" w:beforeAutospacing="0" w:after="0" w:afterAutospacing="0" w:line="240" w:lineRule="auto"/>
              <w:ind w:left="0" w:leftChars="0" w:right="0" w:righ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家佳康</w:t>
            </w:r>
            <w:r>
              <w:rPr>
                <w:rFonts w:hint="eastAsia" w:ascii="宋体" w:hAnsi="宋体" w:eastAsia="宋体" w:cs="宋体"/>
                <w:color w:val="auto"/>
                <w:szCs w:val="21"/>
                <w:highlight w:val="none"/>
                <w:lang w:val="en-US" w:eastAsia="zh-CN"/>
              </w:rPr>
              <w:t>生鲜肉</w:t>
            </w:r>
            <w:r>
              <w:rPr>
                <w:rFonts w:hint="eastAsia" w:ascii="宋体" w:hAnsi="宋体" w:eastAsia="宋体" w:cs="宋体"/>
                <w:color w:val="auto"/>
                <w:szCs w:val="21"/>
                <w:highlight w:val="none"/>
              </w:rPr>
              <w:t>冷链</w:t>
            </w:r>
            <w:r>
              <w:rPr>
                <w:rFonts w:hint="eastAsia" w:ascii="宋体" w:hAnsi="宋体" w:eastAsia="宋体" w:cs="宋体"/>
                <w:color w:val="auto"/>
                <w:szCs w:val="21"/>
                <w:highlight w:val="none"/>
                <w:lang w:val="en-US" w:eastAsia="zh-CN"/>
              </w:rPr>
              <w:t>运输</w:t>
            </w:r>
          </w:p>
        </w:tc>
        <w:tc>
          <w:tcPr>
            <w:tcW w:w="3668" w:type="pct"/>
            <w:noWrap w:val="0"/>
            <w:vAlign w:val="center"/>
          </w:tcPr>
          <w:p w14:paraId="09325E50">
            <w:pPr>
              <w:keepNext w:val="0"/>
              <w:keepLines w:val="0"/>
              <w:pageBreakBefore w:val="0"/>
              <w:widowControl w:val="0"/>
              <w:suppressLineNumbers w:val="0"/>
              <w:kinsoku/>
              <w:wordWrap/>
              <w:overflowPunct/>
              <w:topLinePunct w:val="0"/>
              <w:autoSpaceDE/>
              <w:autoSpaceDN/>
              <w:bidi w:val="0"/>
              <w:snapToGrid w:val="0"/>
              <w:spacing w:before="0" w:beforeAutospacing="0" w:after="0" w:afterAutospacing="0" w:line="240" w:lineRule="auto"/>
              <w:ind w:left="0" w:right="0"/>
              <w:jc w:val="both"/>
              <w:textAlignment w:val="auto"/>
              <w:rPr>
                <w:rFonts w:hint="eastAsia" w:ascii="宋体" w:hAnsi="宋体" w:eastAsia="宋体" w:cs="宋体"/>
                <w:b w:val="0"/>
                <w:bCs w:val="0"/>
                <w:color w:val="auto"/>
                <w:szCs w:val="21"/>
                <w:highlight w:val="none"/>
                <w:lang w:eastAsia="zh-CN"/>
              </w:rPr>
            </w:pPr>
            <w:r>
              <w:rPr>
                <w:rFonts w:hint="eastAsia" w:ascii="宋体" w:hAnsi="宋体" w:eastAsia="宋体" w:cs="宋体"/>
                <w:b w:val="0"/>
                <w:bCs w:val="0"/>
                <w:color w:val="auto"/>
                <w:szCs w:val="21"/>
                <w:highlight w:val="none"/>
              </w:rPr>
              <w:t>1.</w:t>
            </w:r>
            <w:r>
              <w:rPr>
                <w:rFonts w:hint="eastAsia" w:ascii="宋体" w:hAnsi="宋体" w:eastAsia="宋体" w:cs="宋体"/>
                <w:b w:val="0"/>
                <w:bCs w:val="0"/>
                <w:color w:val="auto"/>
                <w:sz w:val="21"/>
                <w:szCs w:val="21"/>
                <w:highlight w:val="none"/>
              </w:rPr>
              <w:t>具有</w:t>
            </w:r>
            <w:r>
              <w:rPr>
                <w:rFonts w:hint="eastAsia" w:ascii="宋体" w:hAnsi="宋体" w:eastAsia="宋体" w:cs="宋体"/>
                <w:b w:val="0"/>
                <w:bCs w:val="0"/>
                <w:color w:val="auto"/>
                <w:szCs w:val="21"/>
                <w:highlight w:val="none"/>
              </w:rPr>
              <w:t>自有冷藏车辆≥1</w:t>
            </w:r>
            <w:r>
              <w:rPr>
                <w:rFonts w:hint="eastAsia" w:ascii="宋体" w:hAnsi="宋体" w:eastAsia="宋体" w:cs="宋体"/>
                <w:b w:val="0"/>
                <w:bCs w:val="0"/>
                <w:color w:val="auto"/>
                <w:szCs w:val="21"/>
                <w:highlight w:val="none"/>
                <w:lang w:val="en-US" w:eastAsia="zh-CN"/>
              </w:rPr>
              <w:t>0</w:t>
            </w:r>
            <w:r>
              <w:rPr>
                <w:rFonts w:hint="eastAsia" w:ascii="宋体" w:hAnsi="宋体" w:eastAsia="宋体" w:cs="宋体"/>
                <w:b w:val="0"/>
                <w:bCs w:val="0"/>
                <w:color w:val="auto"/>
                <w:szCs w:val="21"/>
                <w:highlight w:val="none"/>
              </w:rPr>
              <w:t>台，提供</w:t>
            </w:r>
            <w:r>
              <w:rPr>
                <w:rFonts w:hint="eastAsia" w:ascii="宋体" w:hAnsi="宋体" w:eastAsia="宋体" w:cs="宋体"/>
                <w:b w:val="0"/>
                <w:bCs w:val="0"/>
                <w:color w:val="auto"/>
                <w:szCs w:val="21"/>
                <w:highlight w:val="none"/>
                <w:lang w:val="en-US" w:eastAsia="zh-CN"/>
              </w:rPr>
              <w:t>车辆</w:t>
            </w:r>
            <w:r>
              <w:rPr>
                <w:rFonts w:hint="eastAsia" w:ascii="宋体" w:hAnsi="宋体" w:eastAsia="宋体" w:cs="宋体"/>
                <w:b w:val="0"/>
                <w:bCs w:val="0"/>
                <w:color w:val="auto"/>
                <w:szCs w:val="21"/>
                <w:highlight w:val="none"/>
              </w:rPr>
              <w:t>行驶证</w:t>
            </w:r>
            <w:r>
              <w:rPr>
                <w:rFonts w:hint="eastAsia" w:ascii="宋体" w:hAnsi="宋体" w:eastAsia="宋体" w:cs="宋体"/>
                <w:b w:val="0"/>
                <w:bCs w:val="0"/>
                <w:color w:val="auto"/>
                <w:szCs w:val="21"/>
                <w:highlight w:val="none"/>
                <w:lang w:val="en-US" w:eastAsia="zh-CN"/>
              </w:rPr>
              <w:t>复印件</w:t>
            </w:r>
            <w:r>
              <w:rPr>
                <w:rFonts w:hint="eastAsia" w:ascii="宋体" w:hAnsi="宋体" w:eastAsia="宋体" w:cs="宋体"/>
                <w:b w:val="0"/>
                <w:bCs w:val="0"/>
                <w:color w:val="auto"/>
                <w:szCs w:val="21"/>
                <w:highlight w:val="none"/>
                <w:lang w:eastAsia="zh-CN"/>
              </w:rPr>
              <w:t>（</w:t>
            </w:r>
            <w:r>
              <w:rPr>
                <w:rFonts w:hint="eastAsia" w:ascii="宋体" w:hAnsi="宋体" w:eastAsia="宋体" w:cs="宋体"/>
                <w:b w:val="0"/>
                <w:bCs w:val="0"/>
                <w:color w:val="auto"/>
                <w:szCs w:val="21"/>
                <w:highlight w:val="none"/>
                <w:lang w:val="en-US" w:eastAsia="zh-CN"/>
              </w:rPr>
              <w:t>提供资料同通用资格中车辆要求</w:t>
            </w:r>
            <w:r>
              <w:rPr>
                <w:rFonts w:hint="eastAsia" w:ascii="宋体" w:hAnsi="宋体" w:eastAsia="宋体" w:cs="宋体"/>
                <w:b w:val="0"/>
                <w:bCs w:val="0"/>
                <w:color w:val="auto"/>
                <w:szCs w:val="21"/>
                <w:highlight w:val="none"/>
                <w:lang w:eastAsia="zh-CN"/>
              </w:rPr>
              <w:t>）</w:t>
            </w:r>
            <w:r>
              <w:rPr>
                <w:rFonts w:hint="eastAsia" w:ascii="宋体" w:hAnsi="宋体" w:eastAsia="宋体" w:cs="宋体"/>
                <w:b w:val="0"/>
                <w:bCs w:val="0"/>
                <w:color w:val="auto"/>
                <w:szCs w:val="21"/>
                <w:highlight w:val="none"/>
              </w:rPr>
              <w:t>。</w:t>
            </w:r>
          </w:p>
          <w:p w14:paraId="4B5268AC">
            <w:pPr>
              <w:keepNext w:val="0"/>
              <w:keepLines w:val="0"/>
              <w:pageBreakBefore w:val="0"/>
              <w:widowControl w:val="0"/>
              <w:suppressLineNumbers w:val="0"/>
              <w:kinsoku/>
              <w:wordWrap/>
              <w:overflowPunct/>
              <w:topLinePunct w:val="0"/>
              <w:autoSpaceDE/>
              <w:autoSpaceDN/>
              <w:bidi w:val="0"/>
              <w:snapToGrid w:val="0"/>
              <w:spacing w:before="0" w:beforeAutospacing="0" w:after="0" w:afterAutospacing="0" w:line="240" w:lineRule="auto"/>
              <w:ind w:left="0" w:right="0"/>
              <w:jc w:val="both"/>
              <w:textAlignment w:val="auto"/>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2.自202</w:t>
            </w:r>
            <w:r>
              <w:rPr>
                <w:rFonts w:hint="eastAsia" w:ascii="宋体" w:hAnsi="宋体" w:eastAsia="宋体" w:cs="宋体"/>
                <w:b w:val="0"/>
                <w:bCs w:val="0"/>
                <w:color w:val="auto"/>
                <w:szCs w:val="21"/>
                <w:highlight w:val="none"/>
                <w:lang w:val="en-US" w:eastAsia="zh-CN"/>
              </w:rPr>
              <w:t>3</w:t>
            </w:r>
            <w:r>
              <w:rPr>
                <w:rFonts w:hint="eastAsia" w:ascii="宋体" w:hAnsi="宋体" w:eastAsia="宋体" w:cs="宋体"/>
                <w:b w:val="0"/>
                <w:bCs w:val="0"/>
                <w:color w:val="auto"/>
                <w:szCs w:val="21"/>
                <w:highlight w:val="none"/>
              </w:rPr>
              <w:t>年1月1日以来（</w:t>
            </w:r>
            <w:r>
              <w:rPr>
                <w:rFonts w:hint="eastAsia" w:ascii="宋体" w:hAnsi="宋体" w:eastAsia="宋体" w:cs="宋体"/>
                <w:b w:val="0"/>
                <w:bCs w:val="0"/>
                <w:color w:val="auto"/>
                <w:szCs w:val="21"/>
                <w:highlight w:val="none"/>
                <w:lang w:eastAsia="zh-CN"/>
              </w:rPr>
              <w:t>以合同服务时间为准</w:t>
            </w:r>
            <w:r>
              <w:rPr>
                <w:rFonts w:hint="eastAsia" w:ascii="宋体" w:hAnsi="宋体" w:eastAsia="宋体" w:cs="宋体"/>
                <w:b w:val="0"/>
                <w:bCs w:val="0"/>
                <w:color w:val="auto"/>
                <w:szCs w:val="21"/>
                <w:highlight w:val="none"/>
              </w:rPr>
              <w:t>）</w:t>
            </w:r>
            <w:r>
              <w:rPr>
                <w:rFonts w:hint="eastAsia" w:ascii="宋体" w:hAnsi="宋体" w:eastAsia="宋体" w:cs="宋体"/>
                <w:b w:val="0"/>
                <w:bCs w:val="0"/>
                <w:color w:val="auto"/>
                <w:szCs w:val="21"/>
                <w:highlight w:val="none"/>
                <w:lang w:eastAsia="zh-CN"/>
              </w:rPr>
              <w:t>，</w:t>
            </w:r>
            <w:r>
              <w:rPr>
                <w:rFonts w:hint="eastAsia" w:ascii="宋体" w:hAnsi="宋体" w:eastAsia="宋体" w:cs="宋体"/>
                <w:b w:val="0"/>
                <w:bCs w:val="0"/>
                <w:color w:val="auto"/>
                <w:szCs w:val="21"/>
                <w:highlight w:val="none"/>
              </w:rPr>
              <w:t>具有</w:t>
            </w:r>
            <w:r>
              <w:rPr>
                <w:rFonts w:hint="eastAsia" w:ascii="宋体" w:hAnsi="宋体" w:eastAsia="宋体" w:cs="宋体"/>
                <w:b w:val="0"/>
                <w:bCs w:val="0"/>
                <w:color w:val="auto"/>
                <w:szCs w:val="21"/>
                <w:highlight w:val="none"/>
                <w:lang w:val="en-US" w:eastAsia="zh-CN"/>
              </w:rPr>
              <w:t>冷链运输</w:t>
            </w:r>
            <w:r>
              <w:rPr>
                <w:rFonts w:hint="eastAsia" w:ascii="宋体" w:hAnsi="宋体" w:eastAsia="宋体" w:cs="宋体"/>
                <w:b w:val="0"/>
                <w:bCs w:val="0"/>
                <w:color w:val="auto"/>
                <w:szCs w:val="21"/>
                <w:highlight w:val="none"/>
              </w:rPr>
              <w:t>服务经验</w:t>
            </w:r>
            <w:r>
              <w:rPr>
                <w:rFonts w:hint="eastAsia" w:ascii="宋体" w:hAnsi="宋体" w:eastAsia="宋体" w:cs="宋体"/>
                <w:b w:val="0"/>
                <w:bCs w:val="0"/>
                <w:color w:val="auto"/>
                <w:szCs w:val="21"/>
                <w:highlight w:val="none"/>
                <w:lang w:eastAsia="zh-CN"/>
              </w:rPr>
              <w:t>，</w:t>
            </w:r>
            <w:r>
              <w:rPr>
                <w:rFonts w:hint="eastAsia" w:ascii="宋体" w:hAnsi="宋体" w:eastAsia="宋体" w:cs="宋体"/>
                <w:b w:val="0"/>
                <w:bCs w:val="0"/>
                <w:color w:val="auto"/>
                <w:szCs w:val="21"/>
                <w:highlight w:val="none"/>
              </w:rPr>
              <w:t>提供2份</w:t>
            </w:r>
            <w:r>
              <w:rPr>
                <w:rFonts w:hint="eastAsia" w:ascii="宋体" w:hAnsi="宋体" w:eastAsia="宋体" w:cs="宋体"/>
                <w:b w:val="0"/>
                <w:bCs w:val="0"/>
                <w:color w:val="auto"/>
                <w:szCs w:val="21"/>
                <w:highlight w:val="none"/>
                <w:lang w:val="en-US" w:eastAsia="zh-CN"/>
              </w:rPr>
              <w:t>及以上</w:t>
            </w:r>
            <w:r>
              <w:rPr>
                <w:rFonts w:hint="eastAsia" w:ascii="宋体" w:hAnsi="宋体" w:eastAsia="宋体" w:cs="宋体"/>
                <w:b w:val="0"/>
                <w:bCs w:val="0"/>
                <w:color w:val="auto"/>
                <w:szCs w:val="21"/>
                <w:highlight w:val="none"/>
              </w:rPr>
              <w:t>业绩合同复印件</w:t>
            </w:r>
            <w:r>
              <w:rPr>
                <w:rFonts w:hint="eastAsia" w:ascii="宋体" w:hAnsi="宋体" w:eastAsia="宋体" w:cs="宋体"/>
                <w:b w:val="0"/>
                <w:bCs w:val="0"/>
                <w:color w:val="auto"/>
                <w:szCs w:val="21"/>
                <w:highlight w:val="none"/>
                <w:lang w:val="en-US" w:eastAsia="zh-CN"/>
              </w:rPr>
              <w:t>及对应发票影印件（业绩金额及发票要求详见通用业绩备注要求）</w:t>
            </w:r>
            <w:r>
              <w:rPr>
                <w:rFonts w:hint="eastAsia" w:ascii="宋体" w:hAnsi="宋体" w:eastAsia="宋体" w:cs="宋体"/>
                <w:b w:val="0"/>
                <w:bCs w:val="0"/>
                <w:color w:val="auto"/>
                <w:szCs w:val="21"/>
                <w:highlight w:val="none"/>
              </w:rPr>
              <w:t>。</w:t>
            </w:r>
          </w:p>
          <w:p w14:paraId="55C71C43">
            <w:pPr>
              <w:keepNext w:val="0"/>
              <w:keepLines w:val="0"/>
              <w:pageBreakBefore w:val="0"/>
              <w:widowControl w:val="0"/>
              <w:suppressLineNumbers w:val="0"/>
              <w:kinsoku/>
              <w:wordWrap/>
              <w:overflowPunct/>
              <w:topLinePunct w:val="0"/>
              <w:autoSpaceDE/>
              <w:autoSpaceDN/>
              <w:bidi w:val="0"/>
              <w:snapToGrid w:val="0"/>
              <w:spacing w:before="0" w:beforeAutospacing="0" w:after="0" w:afterAutospacing="0" w:line="240" w:lineRule="auto"/>
              <w:ind w:left="0" w:right="0"/>
              <w:jc w:val="both"/>
              <w:textAlignment w:val="auto"/>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rPr>
              <w:t>注：</w:t>
            </w:r>
            <w:r>
              <w:rPr>
                <w:rFonts w:hint="eastAsia" w:ascii="宋体" w:hAnsi="宋体" w:eastAsia="宋体" w:cs="宋体"/>
                <w:b w:val="0"/>
                <w:bCs w:val="0"/>
                <w:color w:val="auto"/>
                <w:szCs w:val="21"/>
                <w:highlight w:val="none"/>
                <w:lang w:val="en-US" w:eastAsia="zh-CN"/>
              </w:rPr>
              <w:t>行业客户包括但不限于以下品牌</w:t>
            </w:r>
            <w:r>
              <w:rPr>
                <w:rFonts w:hint="eastAsia" w:ascii="宋体" w:hAnsi="宋体" w:eastAsia="宋体" w:cs="宋体"/>
                <w:b w:val="0"/>
                <w:bCs w:val="0"/>
                <w:color w:val="auto"/>
                <w:szCs w:val="21"/>
                <w:highlight w:val="none"/>
                <w:lang w:eastAsia="zh-CN"/>
              </w:rPr>
              <w:t>：</w:t>
            </w:r>
            <w:r>
              <w:rPr>
                <w:rFonts w:hint="eastAsia" w:ascii="宋体" w:hAnsi="宋体" w:eastAsia="宋体" w:cs="宋体"/>
                <w:b w:val="0"/>
                <w:bCs w:val="0"/>
                <w:color w:val="auto"/>
                <w:szCs w:val="21"/>
                <w:highlight w:val="none"/>
              </w:rPr>
              <w:t>蒙牛、</w:t>
            </w:r>
            <w:r>
              <w:rPr>
                <w:rFonts w:hint="eastAsia" w:ascii="宋体" w:hAnsi="宋体" w:eastAsia="宋体" w:cs="宋体"/>
                <w:b w:val="0"/>
                <w:bCs w:val="0"/>
                <w:color w:val="auto"/>
                <w:szCs w:val="21"/>
                <w:highlight w:val="none"/>
                <w:lang w:val="en-US" w:eastAsia="zh-CN"/>
              </w:rPr>
              <w:t>盒马、山姆、叮咚买菜、朴朴、京东、美团</w:t>
            </w:r>
            <w:r>
              <w:rPr>
                <w:rFonts w:hint="eastAsia" w:ascii="宋体" w:hAnsi="宋体" w:eastAsia="宋体" w:cs="宋体"/>
                <w:b w:val="0"/>
                <w:bCs w:val="0"/>
                <w:color w:val="auto"/>
                <w:szCs w:val="21"/>
                <w:highlight w:val="none"/>
              </w:rPr>
              <w:t>等</w:t>
            </w:r>
            <w:r>
              <w:rPr>
                <w:rFonts w:hint="eastAsia" w:ascii="宋体" w:hAnsi="宋体" w:eastAsia="宋体" w:cs="宋体"/>
                <w:b w:val="0"/>
                <w:bCs w:val="0"/>
                <w:color w:val="auto"/>
                <w:szCs w:val="21"/>
                <w:highlight w:val="none"/>
                <w:lang w:eastAsia="zh-CN"/>
              </w:rPr>
              <w:t>。</w:t>
            </w:r>
          </w:p>
        </w:tc>
      </w:tr>
      <w:tr w14:paraId="0B6EF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6" w:type="pct"/>
            <w:noWrap w:val="0"/>
            <w:vAlign w:val="center"/>
          </w:tcPr>
          <w:p w14:paraId="055ADEC2">
            <w:pPr>
              <w:adjustRightInd w:val="0"/>
              <w:snapToGrid w:val="0"/>
              <w:jc w:val="center"/>
              <w:rPr>
                <w:rFonts w:hint="eastAsia" w:ascii="宋体" w:hAnsi="宋体" w:eastAsia="宋体" w:cs="宋体"/>
                <w:b/>
                <w:bCs w:val="0"/>
                <w:color w:val="auto"/>
                <w:szCs w:val="21"/>
                <w:highlight w:val="none"/>
                <w:lang w:val="en-US" w:eastAsia="zh-CN"/>
              </w:rPr>
            </w:pPr>
            <w:r>
              <w:rPr>
                <w:rFonts w:hint="eastAsia" w:ascii="宋体" w:hAnsi="宋体" w:eastAsia="宋体" w:cs="宋体"/>
                <w:b/>
                <w:bCs w:val="0"/>
                <w:color w:val="auto"/>
                <w:szCs w:val="21"/>
                <w:highlight w:val="none"/>
              </w:rPr>
              <w:t>采购包</w:t>
            </w:r>
            <w:r>
              <w:rPr>
                <w:rFonts w:hint="eastAsia" w:ascii="宋体" w:hAnsi="宋体" w:eastAsia="宋体" w:cs="宋体"/>
                <w:b/>
                <w:bCs w:val="0"/>
                <w:color w:val="auto"/>
                <w:szCs w:val="21"/>
                <w:highlight w:val="none"/>
                <w:lang w:val="en-US" w:eastAsia="zh-CN"/>
              </w:rPr>
              <w:t>14-16</w:t>
            </w:r>
          </w:p>
        </w:tc>
        <w:tc>
          <w:tcPr>
            <w:tcW w:w="545" w:type="pct"/>
            <w:noWrap w:val="0"/>
            <w:vAlign w:val="center"/>
          </w:tcPr>
          <w:p w14:paraId="111095AE">
            <w:pPr>
              <w:keepNext w:val="0"/>
              <w:keepLines w:val="0"/>
              <w:pageBreakBefore w:val="0"/>
              <w:widowControl w:val="0"/>
              <w:suppressLineNumbers w:val="0"/>
              <w:kinsoku/>
              <w:wordWrap/>
              <w:overflowPunct/>
              <w:topLinePunct w:val="0"/>
              <w:autoSpaceDE/>
              <w:autoSpaceDN/>
              <w:bidi w:val="0"/>
              <w:snapToGrid w:val="0"/>
              <w:spacing w:before="0" w:beforeAutospacing="0" w:after="0" w:afterAutospacing="0" w:line="240" w:lineRule="auto"/>
              <w:ind w:left="0" w:leftChars="0" w:right="0" w:righ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家佳康饲料原料</w:t>
            </w:r>
            <w:r>
              <w:rPr>
                <w:rFonts w:hint="eastAsia" w:ascii="宋体" w:hAnsi="宋体" w:eastAsia="宋体" w:cs="宋体"/>
                <w:color w:val="auto"/>
                <w:szCs w:val="21"/>
                <w:highlight w:val="none"/>
                <w:lang w:val="en-US" w:eastAsia="zh-CN"/>
              </w:rPr>
              <w:t>运输车</w:t>
            </w:r>
          </w:p>
        </w:tc>
        <w:tc>
          <w:tcPr>
            <w:tcW w:w="3668" w:type="pct"/>
            <w:noWrap w:val="0"/>
            <w:vAlign w:val="center"/>
          </w:tcPr>
          <w:p w14:paraId="34E2188E">
            <w:pPr>
              <w:keepNext w:val="0"/>
              <w:keepLines w:val="0"/>
              <w:pageBreakBefore w:val="0"/>
              <w:widowControl w:val="0"/>
              <w:suppressLineNumbers w:val="0"/>
              <w:kinsoku/>
              <w:wordWrap/>
              <w:overflowPunct/>
              <w:topLinePunct w:val="0"/>
              <w:autoSpaceDE/>
              <w:autoSpaceDN/>
              <w:bidi w:val="0"/>
              <w:snapToGrid w:val="0"/>
              <w:spacing w:before="0" w:beforeAutospacing="0" w:after="0" w:afterAutospacing="0" w:line="240" w:lineRule="auto"/>
              <w:ind w:left="0" w:right="0"/>
              <w:jc w:val="both"/>
              <w:textAlignment w:val="auto"/>
              <w:rPr>
                <w:rFonts w:hint="eastAsia" w:ascii="宋体" w:hAnsi="宋体" w:eastAsia="宋体" w:cs="宋体"/>
                <w:b w:val="0"/>
                <w:bCs w:val="0"/>
                <w:color w:val="auto"/>
                <w:szCs w:val="21"/>
                <w:highlight w:val="none"/>
              </w:rPr>
            </w:pPr>
            <w:r>
              <w:rPr>
                <w:rFonts w:hint="eastAsia" w:ascii="宋体" w:hAnsi="宋体" w:eastAsia="宋体" w:cs="宋体"/>
                <w:b w:val="0"/>
                <w:bCs w:val="0"/>
                <w:color w:val="auto"/>
                <w:kern w:val="2"/>
                <w:sz w:val="21"/>
                <w:szCs w:val="21"/>
                <w:highlight w:val="none"/>
                <w:lang w:val="en-US" w:eastAsia="zh-CN" w:bidi="ar-SA"/>
              </w:rPr>
              <w:t>1.</w:t>
            </w:r>
            <w:r>
              <w:rPr>
                <w:rFonts w:hint="eastAsia" w:ascii="宋体" w:hAnsi="宋体" w:eastAsia="宋体" w:cs="宋体"/>
                <w:b w:val="0"/>
                <w:bCs w:val="0"/>
                <w:color w:val="auto"/>
                <w:sz w:val="21"/>
                <w:szCs w:val="21"/>
                <w:highlight w:val="none"/>
              </w:rPr>
              <w:t>具有车辆</w:t>
            </w:r>
            <w:r>
              <w:rPr>
                <w:rFonts w:hint="eastAsia" w:ascii="宋体" w:hAnsi="宋体" w:eastAsia="宋体" w:cs="宋体"/>
                <w:b w:val="0"/>
                <w:bCs w:val="0"/>
                <w:color w:val="auto"/>
                <w:szCs w:val="21"/>
                <w:highlight w:val="none"/>
                <w:lang w:val="en-US" w:eastAsia="zh-CN"/>
              </w:rPr>
              <w:t>（包含自有与协议车辆）</w:t>
            </w:r>
            <w:r>
              <w:rPr>
                <w:rFonts w:hint="eastAsia" w:ascii="宋体" w:hAnsi="宋体" w:eastAsia="宋体" w:cs="宋体"/>
                <w:b w:val="0"/>
                <w:bCs w:val="0"/>
                <w:color w:val="auto"/>
                <w:szCs w:val="21"/>
                <w:highlight w:val="none"/>
              </w:rPr>
              <w:t>≥</w:t>
            </w:r>
            <w:r>
              <w:rPr>
                <w:rFonts w:hint="eastAsia" w:ascii="宋体" w:hAnsi="宋体" w:eastAsia="宋体" w:cs="宋体"/>
                <w:b w:val="0"/>
                <w:bCs w:val="0"/>
                <w:color w:val="auto"/>
                <w:sz w:val="21"/>
                <w:szCs w:val="21"/>
                <w:highlight w:val="none"/>
                <w:lang w:val="en-US" w:eastAsia="zh-CN"/>
              </w:rPr>
              <w:t>20</w:t>
            </w:r>
            <w:r>
              <w:rPr>
                <w:rFonts w:hint="eastAsia" w:ascii="宋体" w:hAnsi="宋体" w:eastAsia="宋体" w:cs="宋体"/>
                <w:b w:val="0"/>
                <w:bCs w:val="0"/>
                <w:color w:val="auto"/>
                <w:sz w:val="21"/>
                <w:szCs w:val="21"/>
                <w:highlight w:val="none"/>
              </w:rPr>
              <w:t>辆</w:t>
            </w:r>
            <w:r>
              <w:rPr>
                <w:rFonts w:hint="eastAsia" w:ascii="宋体" w:hAnsi="宋体" w:eastAsia="宋体" w:cs="宋体"/>
                <w:b w:val="0"/>
                <w:bCs w:val="0"/>
                <w:color w:val="auto"/>
                <w:sz w:val="21"/>
                <w:szCs w:val="21"/>
                <w:highlight w:val="none"/>
                <w:lang w:val="en-US" w:eastAsia="zh-CN"/>
              </w:rPr>
              <w:t>,</w:t>
            </w:r>
            <w:r>
              <w:rPr>
                <w:rFonts w:hint="eastAsia" w:ascii="宋体" w:hAnsi="宋体" w:eastAsia="宋体" w:cs="宋体"/>
                <w:b w:val="0"/>
                <w:bCs w:val="0"/>
                <w:color w:val="auto"/>
                <w:szCs w:val="21"/>
                <w:highlight w:val="none"/>
              </w:rPr>
              <w:t>提供</w:t>
            </w:r>
            <w:r>
              <w:rPr>
                <w:rFonts w:hint="eastAsia" w:ascii="宋体" w:hAnsi="宋体" w:eastAsia="宋体" w:cs="宋体"/>
                <w:b w:val="0"/>
                <w:bCs w:val="0"/>
                <w:color w:val="auto"/>
                <w:szCs w:val="21"/>
                <w:highlight w:val="none"/>
                <w:lang w:val="en-US" w:eastAsia="zh-CN"/>
              </w:rPr>
              <w:t>车辆</w:t>
            </w:r>
            <w:r>
              <w:rPr>
                <w:rFonts w:hint="eastAsia" w:ascii="宋体" w:hAnsi="宋体" w:eastAsia="宋体" w:cs="宋体"/>
                <w:b w:val="0"/>
                <w:bCs w:val="0"/>
                <w:color w:val="auto"/>
                <w:szCs w:val="21"/>
                <w:highlight w:val="none"/>
              </w:rPr>
              <w:t>行驶证</w:t>
            </w:r>
            <w:r>
              <w:rPr>
                <w:rFonts w:hint="eastAsia" w:ascii="宋体" w:hAnsi="宋体" w:eastAsia="宋体" w:cs="宋体"/>
                <w:b w:val="0"/>
                <w:bCs w:val="0"/>
                <w:color w:val="auto"/>
                <w:szCs w:val="21"/>
                <w:highlight w:val="none"/>
                <w:lang w:val="en-US" w:eastAsia="zh-CN"/>
              </w:rPr>
              <w:t>复印件</w:t>
            </w:r>
            <w:r>
              <w:rPr>
                <w:rFonts w:hint="eastAsia" w:ascii="宋体" w:hAnsi="宋体" w:eastAsia="宋体" w:cs="宋体"/>
                <w:b w:val="0"/>
                <w:bCs w:val="0"/>
                <w:color w:val="auto"/>
                <w:szCs w:val="21"/>
                <w:highlight w:val="none"/>
                <w:lang w:eastAsia="zh-CN"/>
              </w:rPr>
              <w:t>（</w:t>
            </w:r>
            <w:r>
              <w:rPr>
                <w:rFonts w:hint="eastAsia" w:ascii="宋体" w:hAnsi="宋体" w:eastAsia="宋体" w:cs="宋体"/>
                <w:b w:val="0"/>
                <w:bCs w:val="0"/>
                <w:color w:val="auto"/>
                <w:szCs w:val="21"/>
                <w:highlight w:val="none"/>
                <w:lang w:val="en-US" w:eastAsia="zh-CN"/>
              </w:rPr>
              <w:t>提供资料同通用资格中车辆要求</w:t>
            </w:r>
            <w:r>
              <w:rPr>
                <w:rFonts w:hint="eastAsia" w:ascii="宋体" w:hAnsi="宋体" w:eastAsia="宋体" w:cs="宋体"/>
                <w:b w:val="0"/>
                <w:bCs w:val="0"/>
                <w:color w:val="auto"/>
                <w:szCs w:val="21"/>
                <w:highlight w:val="none"/>
                <w:lang w:eastAsia="zh-CN"/>
              </w:rPr>
              <w:t>）</w:t>
            </w:r>
            <w:r>
              <w:rPr>
                <w:rFonts w:hint="eastAsia" w:ascii="宋体" w:hAnsi="宋体" w:eastAsia="宋体" w:cs="宋体"/>
                <w:b w:val="0"/>
                <w:bCs w:val="0"/>
                <w:color w:val="auto"/>
                <w:szCs w:val="21"/>
                <w:highlight w:val="none"/>
              </w:rPr>
              <w:t>。</w:t>
            </w:r>
          </w:p>
          <w:p w14:paraId="38F2FBAE">
            <w:pPr>
              <w:keepNext w:val="0"/>
              <w:keepLines w:val="0"/>
              <w:pageBreakBefore w:val="0"/>
              <w:widowControl w:val="0"/>
              <w:numPr>
                <w:ilvl w:val="0"/>
                <w:numId w:val="0"/>
              </w:numPr>
              <w:suppressLineNumbers w:val="0"/>
              <w:kinsoku/>
              <w:wordWrap/>
              <w:overflowPunct/>
              <w:topLinePunct w:val="0"/>
              <w:autoSpaceDE/>
              <w:autoSpaceDN/>
              <w:bidi w:val="0"/>
              <w:snapToGrid w:val="0"/>
              <w:spacing w:before="0" w:beforeAutospacing="0" w:after="0" w:afterAutospacing="0" w:line="240" w:lineRule="auto"/>
              <w:ind w:left="0" w:leftChars="0" w:right="0" w:rightChars="0"/>
              <w:jc w:val="both"/>
              <w:textAlignment w:val="auto"/>
              <w:rPr>
                <w:rFonts w:hint="eastAsia" w:ascii="宋体" w:hAnsi="宋体" w:eastAsia="宋体" w:cs="宋体"/>
                <w:b w:val="0"/>
                <w:bCs w:val="0"/>
                <w:color w:val="auto"/>
                <w:szCs w:val="21"/>
                <w:highlight w:val="none"/>
              </w:rPr>
            </w:pPr>
            <w:r>
              <w:rPr>
                <w:rFonts w:hint="eastAsia" w:ascii="宋体" w:hAnsi="宋体" w:eastAsia="宋体" w:cs="宋体"/>
                <w:b w:val="0"/>
                <w:bCs w:val="0"/>
                <w:color w:val="auto"/>
                <w:kern w:val="2"/>
                <w:sz w:val="21"/>
                <w:szCs w:val="21"/>
                <w:highlight w:val="none"/>
                <w:lang w:val="en-US" w:eastAsia="zh-CN" w:bidi="ar-SA"/>
              </w:rPr>
              <w:t>2.</w:t>
            </w:r>
            <w:r>
              <w:rPr>
                <w:rFonts w:hint="eastAsia" w:ascii="宋体" w:hAnsi="宋体" w:eastAsia="宋体" w:cs="宋体"/>
                <w:b w:val="0"/>
                <w:bCs w:val="0"/>
                <w:color w:val="auto"/>
                <w:szCs w:val="21"/>
                <w:highlight w:val="none"/>
              </w:rPr>
              <w:t>自202</w:t>
            </w:r>
            <w:r>
              <w:rPr>
                <w:rFonts w:hint="eastAsia" w:ascii="宋体" w:hAnsi="宋体" w:eastAsia="宋体" w:cs="宋体"/>
                <w:b w:val="0"/>
                <w:bCs w:val="0"/>
                <w:color w:val="auto"/>
                <w:szCs w:val="21"/>
                <w:highlight w:val="none"/>
                <w:lang w:val="en-US" w:eastAsia="zh-CN"/>
              </w:rPr>
              <w:t>3</w:t>
            </w:r>
            <w:r>
              <w:rPr>
                <w:rFonts w:hint="eastAsia" w:ascii="宋体" w:hAnsi="宋体" w:eastAsia="宋体" w:cs="宋体"/>
                <w:b w:val="0"/>
                <w:bCs w:val="0"/>
                <w:color w:val="auto"/>
                <w:szCs w:val="21"/>
                <w:highlight w:val="none"/>
              </w:rPr>
              <w:t>年1月1日以来（</w:t>
            </w:r>
            <w:r>
              <w:rPr>
                <w:rFonts w:hint="eastAsia" w:ascii="宋体" w:hAnsi="宋体" w:eastAsia="宋体" w:cs="宋体"/>
                <w:b w:val="0"/>
                <w:bCs w:val="0"/>
                <w:color w:val="auto"/>
                <w:szCs w:val="21"/>
                <w:highlight w:val="none"/>
                <w:lang w:eastAsia="zh-CN"/>
              </w:rPr>
              <w:t>以合同服务时间为准</w:t>
            </w:r>
            <w:r>
              <w:rPr>
                <w:rFonts w:hint="eastAsia" w:ascii="宋体" w:hAnsi="宋体" w:eastAsia="宋体" w:cs="宋体"/>
                <w:b w:val="0"/>
                <w:bCs w:val="0"/>
                <w:color w:val="auto"/>
                <w:szCs w:val="21"/>
                <w:highlight w:val="none"/>
              </w:rPr>
              <w:t>）</w:t>
            </w:r>
            <w:r>
              <w:rPr>
                <w:rFonts w:hint="eastAsia" w:ascii="宋体" w:hAnsi="宋体" w:eastAsia="宋体" w:cs="宋体"/>
                <w:b w:val="0"/>
                <w:bCs w:val="0"/>
                <w:color w:val="auto"/>
                <w:szCs w:val="21"/>
                <w:highlight w:val="none"/>
                <w:lang w:eastAsia="zh-CN"/>
              </w:rPr>
              <w:t>，</w:t>
            </w:r>
            <w:r>
              <w:rPr>
                <w:rFonts w:hint="eastAsia" w:ascii="宋体" w:hAnsi="宋体" w:eastAsia="宋体" w:cs="宋体"/>
                <w:b w:val="0"/>
                <w:bCs w:val="0"/>
                <w:color w:val="auto"/>
                <w:szCs w:val="21"/>
                <w:highlight w:val="none"/>
              </w:rPr>
              <w:t>具有</w:t>
            </w:r>
            <w:r>
              <w:rPr>
                <w:rFonts w:hint="eastAsia" w:ascii="宋体" w:hAnsi="宋体" w:eastAsia="宋体" w:cs="宋体"/>
                <w:b w:val="0"/>
                <w:bCs w:val="0"/>
                <w:color w:val="auto"/>
                <w:szCs w:val="21"/>
                <w:highlight w:val="none"/>
                <w:lang w:val="en-US" w:eastAsia="zh-CN"/>
              </w:rPr>
              <w:t>豆粕、大米副产品、小麦副产品、玉米副产品等各类副产品运输</w:t>
            </w:r>
            <w:r>
              <w:rPr>
                <w:rFonts w:hint="eastAsia" w:ascii="宋体" w:hAnsi="宋体" w:eastAsia="宋体" w:cs="宋体"/>
                <w:b w:val="0"/>
                <w:bCs w:val="0"/>
                <w:color w:val="auto"/>
                <w:szCs w:val="21"/>
                <w:highlight w:val="none"/>
              </w:rPr>
              <w:t>服务经验</w:t>
            </w:r>
            <w:r>
              <w:rPr>
                <w:rFonts w:hint="eastAsia" w:ascii="宋体" w:hAnsi="宋体" w:eastAsia="宋体" w:cs="宋体"/>
                <w:b w:val="0"/>
                <w:bCs w:val="0"/>
                <w:color w:val="auto"/>
                <w:szCs w:val="21"/>
                <w:highlight w:val="none"/>
                <w:lang w:eastAsia="zh-CN"/>
              </w:rPr>
              <w:t>，</w:t>
            </w:r>
            <w:r>
              <w:rPr>
                <w:rFonts w:hint="eastAsia" w:ascii="宋体" w:hAnsi="宋体" w:eastAsia="宋体" w:cs="宋体"/>
                <w:b w:val="0"/>
                <w:bCs w:val="0"/>
                <w:color w:val="auto"/>
                <w:szCs w:val="21"/>
                <w:highlight w:val="none"/>
              </w:rPr>
              <w:t>提供2份</w:t>
            </w:r>
            <w:r>
              <w:rPr>
                <w:rFonts w:hint="eastAsia" w:ascii="宋体" w:hAnsi="宋体" w:eastAsia="宋体" w:cs="宋体"/>
                <w:b w:val="0"/>
                <w:bCs w:val="0"/>
                <w:color w:val="auto"/>
                <w:szCs w:val="21"/>
                <w:highlight w:val="none"/>
                <w:lang w:val="en-US" w:eastAsia="zh-CN"/>
              </w:rPr>
              <w:t>及以上</w:t>
            </w:r>
            <w:r>
              <w:rPr>
                <w:rFonts w:hint="eastAsia" w:ascii="宋体" w:hAnsi="宋体" w:eastAsia="宋体" w:cs="宋体"/>
                <w:b w:val="0"/>
                <w:bCs w:val="0"/>
                <w:color w:val="auto"/>
                <w:szCs w:val="21"/>
                <w:highlight w:val="none"/>
              </w:rPr>
              <w:t>业绩合同复印件</w:t>
            </w:r>
            <w:r>
              <w:rPr>
                <w:rFonts w:hint="eastAsia" w:ascii="宋体" w:hAnsi="宋体" w:eastAsia="宋体" w:cs="宋体"/>
                <w:b w:val="0"/>
                <w:bCs w:val="0"/>
                <w:color w:val="auto"/>
                <w:szCs w:val="21"/>
                <w:highlight w:val="none"/>
                <w:lang w:val="en-US" w:eastAsia="zh-CN"/>
              </w:rPr>
              <w:t>及对应发票影印件（业绩金额及发票要求详见通用业绩备注要求）</w:t>
            </w:r>
            <w:r>
              <w:rPr>
                <w:rFonts w:hint="eastAsia" w:ascii="宋体" w:hAnsi="宋体" w:eastAsia="宋体" w:cs="宋体"/>
                <w:b w:val="0"/>
                <w:bCs w:val="0"/>
                <w:color w:val="auto"/>
                <w:szCs w:val="21"/>
                <w:highlight w:val="none"/>
              </w:rPr>
              <w:t>。</w:t>
            </w:r>
          </w:p>
          <w:p w14:paraId="32616E5A">
            <w:pPr>
              <w:keepNext w:val="0"/>
              <w:keepLines w:val="0"/>
              <w:pageBreakBefore w:val="0"/>
              <w:widowControl w:val="0"/>
              <w:suppressLineNumbers w:val="0"/>
              <w:kinsoku/>
              <w:wordWrap/>
              <w:overflowPunct/>
              <w:topLinePunct w:val="0"/>
              <w:autoSpaceDE/>
              <w:autoSpaceDN/>
              <w:bidi w:val="0"/>
              <w:snapToGrid w:val="0"/>
              <w:spacing w:before="0" w:beforeAutospacing="0" w:after="0" w:afterAutospacing="0" w:line="240" w:lineRule="auto"/>
              <w:ind w:left="0" w:right="0"/>
              <w:jc w:val="both"/>
              <w:textAlignment w:val="auto"/>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 w:val="21"/>
                <w:szCs w:val="21"/>
                <w:highlight w:val="none"/>
                <w:lang w:val="en-US" w:eastAsia="zh-CN"/>
              </w:rPr>
              <w:t>3.</w:t>
            </w:r>
            <w:r>
              <w:rPr>
                <w:rFonts w:hint="eastAsia" w:ascii="宋体" w:hAnsi="宋体" w:eastAsia="宋体" w:cs="宋体"/>
                <w:b w:val="0"/>
                <w:bCs w:val="0"/>
                <w:color w:val="auto"/>
                <w:sz w:val="21"/>
                <w:szCs w:val="21"/>
                <w:highlight w:val="none"/>
              </w:rPr>
              <w:t>须承诺响应《</w:t>
            </w:r>
            <w:r>
              <w:rPr>
                <w:rFonts w:hint="eastAsia" w:ascii="宋体" w:hAnsi="宋体" w:eastAsia="宋体" w:cs="宋体"/>
                <w:b w:val="0"/>
                <w:bCs w:val="0"/>
                <w:color w:val="auto"/>
                <w:sz w:val="21"/>
                <w:szCs w:val="21"/>
                <w:highlight w:val="none"/>
                <w:lang w:val="en-US" w:eastAsia="zh-CN"/>
              </w:rPr>
              <w:t>中粮家佳康关于货物运输管理中生物安全防控的通知</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Cs w:val="21"/>
                <w:highlight w:val="none"/>
                <w:lang w:val="en-US" w:eastAsia="zh-CN"/>
              </w:rPr>
              <w:t>（承诺函格式详见附件8）</w:t>
            </w:r>
          </w:p>
        </w:tc>
      </w:tr>
      <w:tr w14:paraId="2B909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2" w:hRule="atLeast"/>
          <w:jc w:val="center"/>
        </w:trPr>
        <w:tc>
          <w:tcPr>
            <w:tcW w:w="786" w:type="pct"/>
            <w:noWrap w:val="0"/>
            <w:vAlign w:val="center"/>
          </w:tcPr>
          <w:p w14:paraId="4BADF989">
            <w:pPr>
              <w:adjustRightInd w:val="0"/>
              <w:snapToGrid w:val="0"/>
              <w:jc w:val="center"/>
              <w:rPr>
                <w:rFonts w:hint="eastAsia" w:ascii="宋体" w:hAnsi="宋体" w:eastAsia="宋体" w:cs="宋体"/>
                <w:b/>
                <w:bCs w:val="0"/>
                <w:color w:val="auto"/>
                <w:szCs w:val="21"/>
                <w:highlight w:val="none"/>
                <w:lang w:val="en-US"/>
              </w:rPr>
            </w:pPr>
            <w:r>
              <w:rPr>
                <w:rFonts w:hint="eastAsia" w:ascii="宋体" w:hAnsi="宋体" w:eastAsia="宋体" w:cs="宋体"/>
                <w:b/>
                <w:bCs w:val="0"/>
                <w:color w:val="auto"/>
                <w:szCs w:val="21"/>
                <w:highlight w:val="none"/>
              </w:rPr>
              <w:t>采购包</w:t>
            </w:r>
            <w:r>
              <w:rPr>
                <w:rFonts w:hint="eastAsia" w:ascii="宋体" w:hAnsi="宋体" w:eastAsia="宋体" w:cs="宋体"/>
                <w:b/>
                <w:bCs w:val="0"/>
                <w:color w:val="auto"/>
                <w:szCs w:val="21"/>
                <w:highlight w:val="none"/>
                <w:lang w:val="en-US" w:eastAsia="zh-CN"/>
              </w:rPr>
              <w:t>17</w:t>
            </w:r>
            <w:r>
              <w:rPr>
                <w:rFonts w:hint="eastAsia" w:ascii="宋体" w:hAnsi="宋体" w:eastAsia="宋体" w:cs="宋体"/>
                <w:b/>
                <w:bCs w:val="0"/>
                <w:color w:val="auto"/>
                <w:szCs w:val="21"/>
                <w:highlight w:val="none"/>
                <w:lang w:eastAsia="zh-CN"/>
              </w:rPr>
              <w:t>、</w:t>
            </w:r>
            <w:r>
              <w:rPr>
                <w:rFonts w:hint="eastAsia" w:ascii="宋体" w:hAnsi="宋体" w:eastAsia="宋体" w:cs="宋体"/>
                <w:b/>
                <w:bCs w:val="0"/>
                <w:color w:val="auto"/>
                <w:szCs w:val="21"/>
                <w:highlight w:val="none"/>
                <w:lang w:val="en-US" w:eastAsia="zh-CN"/>
              </w:rPr>
              <w:t>18、20、21</w:t>
            </w:r>
          </w:p>
        </w:tc>
        <w:tc>
          <w:tcPr>
            <w:tcW w:w="545" w:type="pct"/>
            <w:noWrap w:val="0"/>
            <w:vAlign w:val="center"/>
          </w:tcPr>
          <w:p w14:paraId="78D7D082">
            <w:pPr>
              <w:keepNext w:val="0"/>
              <w:keepLines w:val="0"/>
              <w:pageBreakBefore w:val="0"/>
              <w:widowControl w:val="0"/>
              <w:suppressLineNumbers w:val="0"/>
              <w:kinsoku/>
              <w:wordWrap/>
              <w:overflowPunct/>
              <w:topLinePunct w:val="0"/>
              <w:autoSpaceDE/>
              <w:autoSpaceDN/>
              <w:bidi w:val="0"/>
              <w:snapToGrid w:val="0"/>
              <w:spacing w:before="0" w:beforeAutospacing="0" w:after="0" w:afterAutospacing="0" w:line="240" w:lineRule="auto"/>
              <w:ind w:left="0" w:leftChars="0" w:right="0" w:righ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家佳康散装</w:t>
            </w:r>
            <w:r>
              <w:rPr>
                <w:rFonts w:hint="eastAsia" w:ascii="宋体" w:hAnsi="宋体" w:eastAsia="宋体" w:cs="宋体"/>
                <w:color w:val="auto"/>
                <w:szCs w:val="21"/>
                <w:highlight w:val="none"/>
                <w:lang w:val="en-US" w:eastAsia="zh-CN"/>
              </w:rPr>
              <w:t>成品</w:t>
            </w:r>
            <w:r>
              <w:rPr>
                <w:rFonts w:hint="eastAsia" w:ascii="宋体" w:hAnsi="宋体" w:eastAsia="宋体" w:cs="宋体"/>
                <w:color w:val="auto"/>
                <w:szCs w:val="21"/>
                <w:highlight w:val="none"/>
              </w:rPr>
              <w:t>饲料罐车</w:t>
            </w:r>
          </w:p>
        </w:tc>
        <w:tc>
          <w:tcPr>
            <w:tcW w:w="3668" w:type="pct"/>
            <w:noWrap w:val="0"/>
            <w:vAlign w:val="center"/>
          </w:tcPr>
          <w:p w14:paraId="7DF687FA">
            <w:pPr>
              <w:keepNext w:val="0"/>
              <w:keepLines w:val="0"/>
              <w:pageBreakBefore w:val="0"/>
              <w:widowControl w:val="0"/>
              <w:suppressLineNumbers w:val="0"/>
              <w:kinsoku/>
              <w:wordWrap/>
              <w:overflowPunct/>
              <w:topLinePunct w:val="0"/>
              <w:autoSpaceDE/>
              <w:autoSpaceDN/>
              <w:bidi w:val="0"/>
              <w:snapToGrid w:val="0"/>
              <w:spacing w:before="0" w:beforeAutospacing="0" w:after="0" w:afterAutospacing="0" w:line="240" w:lineRule="auto"/>
              <w:ind w:left="0" w:right="0"/>
              <w:jc w:val="both"/>
              <w:textAlignment w:val="auto"/>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lang w:val="en-US" w:eastAsia="zh-CN"/>
              </w:rPr>
              <w:t>1.</w:t>
            </w:r>
            <w:r>
              <w:rPr>
                <w:rFonts w:hint="eastAsia" w:ascii="宋体" w:hAnsi="宋体" w:eastAsia="宋体" w:cs="宋体"/>
                <w:b w:val="0"/>
                <w:bCs w:val="0"/>
                <w:color w:val="auto"/>
                <w:sz w:val="21"/>
                <w:szCs w:val="21"/>
                <w:highlight w:val="none"/>
              </w:rPr>
              <w:t>具有</w:t>
            </w:r>
            <w:r>
              <w:rPr>
                <w:rFonts w:hint="eastAsia" w:ascii="宋体" w:hAnsi="宋体" w:eastAsia="宋体" w:cs="宋体"/>
                <w:b w:val="0"/>
                <w:bCs w:val="0"/>
                <w:color w:val="auto"/>
                <w:szCs w:val="21"/>
                <w:highlight w:val="none"/>
              </w:rPr>
              <w:t>自有罐车车辆≥10辆，且</w:t>
            </w:r>
            <w:r>
              <w:rPr>
                <w:rFonts w:hint="eastAsia" w:ascii="宋体" w:hAnsi="宋体" w:eastAsia="宋体" w:cs="宋体"/>
                <w:b w:val="0"/>
                <w:bCs w:val="0"/>
                <w:color w:val="auto"/>
                <w:szCs w:val="21"/>
                <w:highlight w:val="none"/>
                <w:lang w:val="en-US" w:eastAsia="zh-CN"/>
              </w:rPr>
              <w:t>单辆车</w:t>
            </w:r>
            <w:r>
              <w:rPr>
                <w:rFonts w:hint="eastAsia" w:ascii="宋体" w:hAnsi="宋体" w:eastAsia="宋体" w:cs="宋体"/>
                <w:b w:val="0"/>
                <w:bCs w:val="0"/>
                <w:color w:val="auto"/>
                <w:szCs w:val="21"/>
                <w:highlight w:val="none"/>
              </w:rPr>
              <w:t>核定载重量不低于</w:t>
            </w:r>
            <w:r>
              <w:rPr>
                <w:rFonts w:hint="eastAsia" w:ascii="宋体" w:hAnsi="宋体" w:eastAsia="宋体" w:cs="宋体"/>
                <w:b w:val="0"/>
                <w:bCs w:val="0"/>
                <w:color w:val="auto"/>
                <w:szCs w:val="21"/>
                <w:highlight w:val="none"/>
                <w:lang w:val="en-US" w:eastAsia="zh-CN"/>
              </w:rPr>
              <w:t>14</w:t>
            </w:r>
            <w:r>
              <w:rPr>
                <w:rFonts w:hint="eastAsia" w:ascii="宋体" w:hAnsi="宋体" w:eastAsia="宋体" w:cs="宋体"/>
                <w:b w:val="0"/>
                <w:bCs w:val="0"/>
                <w:color w:val="auto"/>
                <w:szCs w:val="21"/>
                <w:highlight w:val="none"/>
              </w:rPr>
              <w:t>吨，提供</w:t>
            </w:r>
            <w:r>
              <w:rPr>
                <w:rFonts w:hint="eastAsia" w:ascii="宋体" w:hAnsi="宋体" w:eastAsia="宋体" w:cs="宋体"/>
                <w:b w:val="0"/>
                <w:bCs w:val="0"/>
                <w:color w:val="auto"/>
                <w:szCs w:val="21"/>
                <w:highlight w:val="none"/>
                <w:lang w:val="en-US" w:eastAsia="zh-CN"/>
              </w:rPr>
              <w:t>车辆</w:t>
            </w:r>
            <w:r>
              <w:rPr>
                <w:rFonts w:hint="eastAsia" w:ascii="宋体" w:hAnsi="宋体" w:eastAsia="宋体" w:cs="宋体"/>
                <w:b w:val="0"/>
                <w:bCs w:val="0"/>
                <w:color w:val="auto"/>
                <w:szCs w:val="21"/>
                <w:highlight w:val="none"/>
              </w:rPr>
              <w:t>行驶证</w:t>
            </w:r>
            <w:r>
              <w:rPr>
                <w:rFonts w:hint="eastAsia" w:ascii="宋体" w:hAnsi="宋体" w:eastAsia="宋体" w:cs="宋体"/>
                <w:b w:val="0"/>
                <w:bCs w:val="0"/>
                <w:color w:val="auto"/>
                <w:szCs w:val="21"/>
                <w:highlight w:val="none"/>
                <w:lang w:val="en-US" w:eastAsia="zh-CN"/>
              </w:rPr>
              <w:t>复印件</w:t>
            </w:r>
            <w:r>
              <w:rPr>
                <w:rFonts w:hint="eastAsia" w:ascii="宋体" w:hAnsi="宋体" w:eastAsia="宋体" w:cs="宋体"/>
                <w:b w:val="0"/>
                <w:bCs w:val="0"/>
                <w:color w:val="auto"/>
                <w:szCs w:val="21"/>
                <w:highlight w:val="none"/>
                <w:lang w:eastAsia="zh-CN"/>
              </w:rPr>
              <w:t>（</w:t>
            </w:r>
            <w:r>
              <w:rPr>
                <w:rFonts w:hint="eastAsia" w:ascii="宋体" w:hAnsi="宋体" w:eastAsia="宋体" w:cs="宋体"/>
                <w:b w:val="0"/>
                <w:bCs w:val="0"/>
                <w:color w:val="auto"/>
                <w:szCs w:val="21"/>
                <w:highlight w:val="none"/>
                <w:lang w:val="en-US" w:eastAsia="zh-CN"/>
              </w:rPr>
              <w:t>提供资料同通用资格中车辆要求</w:t>
            </w:r>
            <w:r>
              <w:rPr>
                <w:rFonts w:hint="eastAsia" w:ascii="宋体" w:hAnsi="宋体" w:eastAsia="宋体" w:cs="宋体"/>
                <w:b w:val="0"/>
                <w:bCs w:val="0"/>
                <w:color w:val="auto"/>
                <w:szCs w:val="21"/>
                <w:highlight w:val="none"/>
                <w:lang w:eastAsia="zh-CN"/>
              </w:rPr>
              <w:t>）</w:t>
            </w:r>
            <w:r>
              <w:rPr>
                <w:rFonts w:hint="eastAsia" w:ascii="宋体" w:hAnsi="宋体" w:eastAsia="宋体" w:cs="宋体"/>
                <w:b w:val="0"/>
                <w:bCs w:val="0"/>
                <w:color w:val="auto"/>
                <w:szCs w:val="21"/>
                <w:highlight w:val="none"/>
              </w:rPr>
              <w:t>。</w:t>
            </w:r>
          </w:p>
          <w:p w14:paraId="7D7F8BD2">
            <w:pPr>
              <w:keepNext w:val="0"/>
              <w:keepLines w:val="0"/>
              <w:pageBreakBefore w:val="0"/>
              <w:widowControl w:val="0"/>
              <w:numPr>
                <w:ilvl w:val="0"/>
                <w:numId w:val="0"/>
              </w:numPr>
              <w:suppressLineNumbers w:val="0"/>
              <w:kinsoku/>
              <w:wordWrap/>
              <w:overflowPunct/>
              <w:topLinePunct w:val="0"/>
              <w:autoSpaceDE/>
              <w:autoSpaceDN/>
              <w:bidi w:val="0"/>
              <w:snapToGrid w:val="0"/>
              <w:spacing w:before="0" w:beforeAutospacing="0" w:after="0" w:afterAutospacing="0" w:line="240" w:lineRule="auto"/>
              <w:ind w:left="0" w:right="0"/>
              <w:jc w:val="both"/>
              <w:textAlignment w:val="auto"/>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lang w:val="en-US" w:eastAsia="zh-CN"/>
              </w:rPr>
              <w:t>2.</w:t>
            </w:r>
            <w:r>
              <w:rPr>
                <w:rFonts w:hint="eastAsia" w:ascii="宋体" w:hAnsi="宋体" w:eastAsia="宋体" w:cs="宋体"/>
                <w:b w:val="0"/>
                <w:bCs w:val="0"/>
                <w:color w:val="auto"/>
                <w:szCs w:val="21"/>
                <w:highlight w:val="none"/>
              </w:rPr>
              <w:t>自202</w:t>
            </w:r>
            <w:r>
              <w:rPr>
                <w:rFonts w:hint="eastAsia" w:ascii="宋体" w:hAnsi="宋体" w:eastAsia="宋体" w:cs="宋体"/>
                <w:b w:val="0"/>
                <w:bCs w:val="0"/>
                <w:color w:val="auto"/>
                <w:szCs w:val="21"/>
                <w:highlight w:val="none"/>
                <w:lang w:val="en-US" w:eastAsia="zh-CN"/>
              </w:rPr>
              <w:t>3</w:t>
            </w:r>
            <w:r>
              <w:rPr>
                <w:rFonts w:hint="eastAsia" w:ascii="宋体" w:hAnsi="宋体" w:eastAsia="宋体" w:cs="宋体"/>
                <w:b w:val="0"/>
                <w:bCs w:val="0"/>
                <w:color w:val="auto"/>
                <w:szCs w:val="21"/>
                <w:highlight w:val="none"/>
              </w:rPr>
              <w:t>年1月1日以来（</w:t>
            </w:r>
            <w:r>
              <w:rPr>
                <w:rFonts w:hint="eastAsia" w:ascii="宋体" w:hAnsi="宋体" w:eastAsia="宋体" w:cs="宋体"/>
                <w:b w:val="0"/>
                <w:bCs w:val="0"/>
                <w:color w:val="auto"/>
                <w:szCs w:val="21"/>
                <w:highlight w:val="none"/>
                <w:lang w:eastAsia="zh-CN"/>
              </w:rPr>
              <w:t>以合同服务时间为准</w:t>
            </w:r>
            <w:r>
              <w:rPr>
                <w:rFonts w:hint="eastAsia" w:ascii="宋体" w:hAnsi="宋体" w:eastAsia="宋体" w:cs="宋体"/>
                <w:b w:val="0"/>
                <w:bCs w:val="0"/>
                <w:color w:val="auto"/>
                <w:szCs w:val="21"/>
                <w:highlight w:val="none"/>
              </w:rPr>
              <w:t>），具有</w:t>
            </w:r>
            <w:r>
              <w:rPr>
                <w:rFonts w:hint="eastAsia" w:ascii="宋体" w:hAnsi="宋体" w:eastAsia="宋体" w:cs="宋体"/>
                <w:b w:val="0"/>
                <w:bCs w:val="0"/>
                <w:color w:val="auto"/>
                <w:szCs w:val="21"/>
                <w:highlight w:val="none"/>
                <w:lang w:val="en-US" w:eastAsia="zh-CN"/>
              </w:rPr>
              <w:t>散装饲料运输</w:t>
            </w:r>
            <w:r>
              <w:rPr>
                <w:rFonts w:hint="eastAsia" w:ascii="宋体" w:hAnsi="宋体" w:eastAsia="宋体" w:cs="宋体"/>
                <w:b w:val="0"/>
                <w:bCs w:val="0"/>
                <w:color w:val="auto"/>
                <w:szCs w:val="21"/>
                <w:highlight w:val="none"/>
              </w:rPr>
              <w:t>服务经验</w:t>
            </w:r>
            <w:r>
              <w:rPr>
                <w:rFonts w:hint="eastAsia" w:ascii="宋体" w:hAnsi="宋体" w:eastAsia="宋体" w:cs="宋体"/>
                <w:b w:val="0"/>
                <w:bCs w:val="0"/>
                <w:color w:val="auto"/>
                <w:szCs w:val="21"/>
                <w:highlight w:val="none"/>
                <w:lang w:eastAsia="zh-CN"/>
              </w:rPr>
              <w:t>，</w:t>
            </w:r>
            <w:r>
              <w:rPr>
                <w:rFonts w:hint="eastAsia" w:ascii="宋体" w:hAnsi="宋体" w:eastAsia="宋体" w:cs="宋体"/>
                <w:b w:val="0"/>
                <w:bCs w:val="0"/>
                <w:color w:val="auto"/>
                <w:szCs w:val="21"/>
                <w:highlight w:val="none"/>
              </w:rPr>
              <w:t>提供2份</w:t>
            </w:r>
            <w:r>
              <w:rPr>
                <w:rFonts w:hint="eastAsia" w:ascii="宋体" w:hAnsi="宋体" w:eastAsia="宋体" w:cs="宋体"/>
                <w:b w:val="0"/>
                <w:bCs w:val="0"/>
                <w:color w:val="auto"/>
                <w:szCs w:val="21"/>
                <w:highlight w:val="none"/>
                <w:lang w:val="en-US" w:eastAsia="zh-CN"/>
              </w:rPr>
              <w:t>及以上</w:t>
            </w:r>
            <w:r>
              <w:rPr>
                <w:rFonts w:hint="eastAsia" w:ascii="宋体" w:hAnsi="宋体" w:eastAsia="宋体" w:cs="宋体"/>
                <w:b w:val="0"/>
                <w:bCs w:val="0"/>
                <w:color w:val="auto"/>
                <w:szCs w:val="21"/>
                <w:highlight w:val="none"/>
              </w:rPr>
              <w:t>业绩合同复印件</w:t>
            </w:r>
            <w:r>
              <w:rPr>
                <w:rFonts w:hint="eastAsia" w:ascii="宋体" w:hAnsi="宋体" w:eastAsia="宋体" w:cs="宋体"/>
                <w:b w:val="0"/>
                <w:bCs w:val="0"/>
                <w:color w:val="auto"/>
                <w:szCs w:val="21"/>
                <w:highlight w:val="none"/>
                <w:lang w:val="en-US" w:eastAsia="zh-CN"/>
              </w:rPr>
              <w:t>及对应发票影印件（业绩金额及发票要求详见通用业绩备注要求）</w:t>
            </w:r>
            <w:r>
              <w:rPr>
                <w:rFonts w:hint="eastAsia" w:ascii="宋体" w:hAnsi="宋体" w:eastAsia="宋体" w:cs="宋体"/>
                <w:b w:val="0"/>
                <w:bCs w:val="0"/>
                <w:color w:val="auto"/>
                <w:szCs w:val="21"/>
                <w:highlight w:val="none"/>
              </w:rPr>
              <w:t>。</w:t>
            </w:r>
          </w:p>
          <w:p w14:paraId="1EA6A2D2">
            <w:pPr>
              <w:keepNext w:val="0"/>
              <w:keepLines w:val="0"/>
              <w:pageBreakBefore w:val="0"/>
              <w:widowControl w:val="0"/>
              <w:numPr>
                <w:ilvl w:val="0"/>
                <w:numId w:val="0"/>
              </w:numPr>
              <w:suppressLineNumbers w:val="0"/>
              <w:kinsoku/>
              <w:wordWrap/>
              <w:overflowPunct/>
              <w:topLinePunct w:val="0"/>
              <w:autoSpaceDE/>
              <w:autoSpaceDN/>
              <w:bidi w:val="0"/>
              <w:snapToGrid w:val="0"/>
              <w:spacing w:before="0" w:beforeAutospacing="0" w:after="0" w:afterAutospacing="0" w:line="240" w:lineRule="auto"/>
              <w:ind w:left="0" w:right="0"/>
              <w:jc w:val="both"/>
              <w:textAlignment w:val="auto"/>
              <w:rPr>
                <w:rFonts w:hint="eastAsia" w:ascii="宋体" w:hAnsi="宋体" w:eastAsia="宋体" w:cs="宋体"/>
                <w:b w:val="0"/>
                <w:bCs w:val="0"/>
                <w:color w:val="auto"/>
                <w:szCs w:val="21"/>
                <w:highlight w:val="none"/>
                <w:lang w:eastAsia="zh-CN"/>
              </w:rPr>
            </w:pPr>
            <w:r>
              <w:rPr>
                <w:rFonts w:hint="eastAsia" w:ascii="宋体" w:hAnsi="宋体" w:eastAsia="宋体" w:cs="宋体"/>
                <w:b w:val="0"/>
                <w:bCs w:val="0"/>
                <w:color w:val="auto"/>
                <w:szCs w:val="21"/>
                <w:highlight w:val="none"/>
              </w:rPr>
              <w:t>注：</w:t>
            </w:r>
            <w:r>
              <w:rPr>
                <w:rFonts w:hint="eastAsia" w:ascii="宋体" w:hAnsi="宋体" w:eastAsia="宋体" w:cs="宋体"/>
                <w:b w:val="0"/>
                <w:bCs w:val="0"/>
                <w:color w:val="auto"/>
                <w:szCs w:val="21"/>
                <w:highlight w:val="none"/>
                <w:lang w:val="en-US" w:eastAsia="zh-CN"/>
              </w:rPr>
              <w:t>行业客户包括但不限于以下品牌：家佳康、牧原、温氏、大北农、新希望</w:t>
            </w:r>
            <w:r>
              <w:rPr>
                <w:rFonts w:hint="eastAsia" w:ascii="宋体" w:hAnsi="宋体" w:eastAsia="宋体" w:cs="宋体"/>
                <w:b w:val="0"/>
                <w:bCs w:val="0"/>
                <w:color w:val="auto"/>
                <w:szCs w:val="21"/>
                <w:highlight w:val="none"/>
              </w:rPr>
              <w:t>等</w:t>
            </w:r>
            <w:r>
              <w:rPr>
                <w:rFonts w:hint="eastAsia" w:ascii="宋体" w:hAnsi="宋体" w:eastAsia="宋体" w:cs="宋体"/>
                <w:b w:val="0"/>
                <w:bCs w:val="0"/>
                <w:color w:val="auto"/>
                <w:szCs w:val="21"/>
                <w:highlight w:val="none"/>
                <w:lang w:eastAsia="zh-CN"/>
              </w:rPr>
              <w:t>。</w:t>
            </w:r>
          </w:p>
          <w:p w14:paraId="174F40C9">
            <w:pPr>
              <w:keepNext w:val="0"/>
              <w:keepLines w:val="0"/>
              <w:pageBreakBefore w:val="0"/>
              <w:widowControl w:val="0"/>
              <w:numPr>
                <w:ilvl w:val="0"/>
                <w:numId w:val="0"/>
              </w:numPr>
              <w:suppressLineNumbers w:val="0"/>
              <w:kinsoku/>
              <w:wordWrap/>
              <w:overflowPunct/>
              <w:topLinePunct w:val="0"/>
              <w:autoSpaceDE/>
              <w:autoSpaceDN/>
              <w:bidi w:val="0"/>
              <w:snapToGrid w:val="0"/>
              <w:spacing w:before="0" w:beforeAutospacing="0" w:after="0" w:afterAutospacing="0" w:line="240" w:lineRule="auto"/>
              <w:ind w:left="0" w:right="0"/>
              <w:jc w:val="both"/>
              <w:textAlignment w:val="auto"/>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3.供应商须具备开具增值税普通发票的能力，发票税率不作要求；无需提供相关证明材料。</w:t>
            </w:r>
          </w:p>
        </w:tc>
      </w:tr>
      <w:tr w14:paraId="3AC42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6" w:type="pct"/>
            <w:noWrap w:val="0"/>
            <w:vAlign w:val="center"/>
          </w:tcPr>
          <w:p w14:paraId="189CFD76">
            <w:pPr>
              <w:adjustRightInd w:val="0"/>
              <w:snapToGrid w:val="0"/>
              <w:jc w:val="center"/>
              <w:rPr>
                <w:rFonts w:hint="eastAsia" w:ascii="宋体" w:hAnsi="宋体" w:eastAsia="宋体" w:cs="宋体"/>
                <w:b/>
                <w:bCs w:val="0"/>
                <w:color w:val="auto"/>
                <w:szCs w:val="21"/>
                <w:highlight w:val="none"/>
                <w:lang w:val="en-US"/>
              </w:rPr>
            </w:pPr>
            <w:r>
              <w:rPr>
                <w:rFonts w:hint="eastAsia" w:ascii="宋体" w:hAnsi="宋体" w:eastAsia="宋体" w:cs="宋体"/>
                <w:b/>
                <w:bCs w:val="0"/>
                <w:color w:val="auto"/>
                <w:szCs w:val="21"/>
                <w:highlight w:val="none"/>
              </w:rPr>
              <w:t>采购包</w:t>
            </w:r>
            <w:r>
              <w:rPr>
                <w:rFonts w:hint="eastAsia" w:ascii="宋体" w:hAnsi="宋体" w:eastAsia="宋体" w:cs="宋体"/>
                <w:b/>
                <w:bCs w:val="0"/>
                <w:color w:val="auto"/>
                <w:szCs w:val="21"/>
                <w:highlight w:val="none"/>
                <w:lang w:val="en-US" w:eastAsia="zh-CN"/>
              </w:rPr>
              <w:t>19、22-24</w:t>
            </w:r>
          </w:p>
        </w:tc>
        <w:tc>
          <w:tcPr>
            <w:tcW w:w="545" w:type="pct"/>
            <w:noWrap w:val="0"/>
            <w:vAlign w:val="center"/>
          </w:tcPr>
          <w:p w14:paraId="40AA17BE">
            <w:pPr>
              <w:keepNext w:val="0"/>
              <w:keepLines w:val="0"/>
              <w:pageBreakBefore w:val="0"/>
              <w:widowControl w:val="0"/>
              <w:suppressLineNumbers w:val="0"/>
              <w:kinsoku/>
              <w:wordWrap/>
              <w:overflowPunct/>
              <w:topLinePunct w:val="0"/>
              <w:autoSpaceDE/>
              <w:autoSpaceDN/>
              <w:bidi w:val="0"/>
              <w:snapToGrid w:val="0"/>
              <w:spacing w:before="0" w:beforeAutospacing="0" w:after="0" w:afterAutospacing="0" w:line="240" w:lineRule="auto"/>
              <w:ind w:left="0" w:leftChars="0" w:right="0" w:righ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家佳康散装</w:t>
            </w:r>
            <w:r>
              <w:rPr>
                <w:rFonts w:hint="eastAsia" w:ascii="宋体" w:hAnsi="宋体" w:eastAsia="宋体" w:cs="宋体"/>
                <w:color w:val="auto"/>
                <w:szCs w:val="21"/>
                <w:highlight w:val="none"/>
                <w:lang w:val="en-US" w:eastAsia="zh-CN"/>
              </w:rPr>
              <w:t>成品</w:t>
            </w:r>
            <w:r>
              <w:rPr>
                <w:rFonts w:hint="eastAsia" w:ascii="宋体" w:hAnsi="宋体" w:eastAsia="宋体" w:cs="宋体"/>
                <w:color w:val="auto"/>
                <w:szCs w:val="21"/>
                <w:highlight w:val="none"/>
              </w:rPr>
              <w:t>饲料</w:t>
            </w:r>
            <w:r>
              <w:rPr>
                <w:rFonts w:hint="eastAsia" w:ascii="宋体" w:hAnsi="宋体" w:eastAsia="宋体" w:cs="宋体"/>
                <w:color w:val="auto"/>
                <w:szCs w:val="21"/>
                <w:highlight w:val="none"/>
                <w:lang w:val="en-US" w:eastAsia="zh-CN"/>
              </w:rPr>
              <w:t>挂车</w:t>
            </w:r>
          </w:p>
        </w:tc>
        <w:tc>
          <w:tcPr>
            <w:tcW w:w="3668" w:type="pct"/>
            <w:noWrap w:val="0"/>
            <w:vAlign w:val="center"/>
          </w:tcPr>
          <w:p w14:paraId="6832E021">
            <w:pPr>
              <w:keepNext w:val="0"/>
              <w:keepLines w:val="0"/>
              <w:pageBreakBefore w:val="0"/>
              <w:widowControl w:val="0"/>
              <w:suppressLineNumbers w:val="0"/>
              <w:kinsoku/>
              <w:wordWrap/>
              <w:overflowPunct/>
              <w:topLinePunct w:val="0"/>
              <w:autoSpaceDE/>
              <w:autoSpaceDN/>
              <w:bidi w:val="0"/>
              <w:snapToGrid w:val="0"/>
              <w:spacing w:before="0" w:beforeAutospacing="0" w:after="0" w:afterAutospacing="0" w:line="240" w:lineRule="auto"/>
              <w:ind w:left="0" w:right="0"/>
              <w:jc w:val="both"/>
              <w:textAlignment w:val="auto"/>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lang w:val="en-US" w:eastAsia="zh-CN"/>
              </w:rPr>
              <w:t>1.</w:t>
            </w:r>
            <w:r>
              <w:rPr>
                <w:rFonts w:hint="eastAsia" w:ascii="宋体" w:hAnsi="宋体" w:eastAsia="宋体" w:cs="宋体"/>
                <w:b w:val="0"/>
                <w:bCs w:val="0"/>
                <w:color w:val="auto"/>
                <w:sz w:val="21"/>
                <w:szCs w:val="21"/>
                <w:highlight w:val="none"/>
              </w:rPr>
              <w:t>具有</w:t>
            </w:r>
            <w:r>
              <w:rPr>
                <w:rFonts w:hint="eastAsia" w:ascii="宋体" w:hAnsi="宋体" w:eastAsia="宋体" w:cs="宋体"/>
                <w:b w:val="0"/>
                <w:bCs w:val="0"/>
                <w:color w:val="auto"/>
                <w:szCs w:val="21"/>
                <w:highlight w:val="none"/>
              </w:rPr>
              <w:t>自有</w:t>
            </w:r>
            <w:r>
              <w:rPr>
                <w:rFonts w:hint="eastAsia" w:ascii="宋体" w:hAnsi="宋体" w:eastAsia="宋体" w:cs="宋体"/>
                <w:b w:val="0"/>
                <w:bCs w:val="0"/>
                <w:color w:val="auto"/>
                <w:szCs w:val="21"/>
                <w:highlight w:val="none"/>
                <w:lang w:val="en-US" w:eastAsia="zh-CN"/>
              </w:rPr>
              <w:t>挂</w:t>
            </w:r>
            <w:r>
              <w:rPr>
                <w:rFonts w:hint="eastAsia" w:ascii="宋体" w:hAnsi="宋体" w:eastAsia="宋体" w:cs="宋体"/>
                <w:b w:val="0"/>
                <w:bCs w:val="0"/>
                <w:color w:val="auto"/>
                <w:szCs w:val="21"/>
                <w:highlight w:val="none"/>
              </w:rPr>
              <w:t>车车辆≥10辆，且</w:t>
            </w:r>
            <w:r>
              <w:rPr>
                <w:rFonts w:hint="eastAsia" w:ascii="宋体" w:hAnsi="宋体" w:eastAsia="宋体" w:cs="宋体"/>
                <w:b w:val="0"/>
                <w:bCs w:val="0"/>
                <w:color w:val="auto"/>
                <w:szCs w:val="21"/>
                <w:highlight w:val="none"/>
                <w:lang w:val="en-US" w:eastAsia="zh-CN"/>
              </w:rPr>
              <w:t>单辆车</w:t>
            </w:r>
            <w:r>
              <w:rPr>
                <w:rFonts w:hint="eastAsia" w:ascii="宋体" w:hAnsi="宋体" w:eastAsia="宋体" w:cs="宋体"/>
                <w:b w:val="0"/>
                <w:bCs w:val="0"/>
                <w:color w:val="auto"/>
                <w:szCs w:val="21"/>
                <w:highlight w:val="none"/>
              </w:rPr>
              <w:t>核定载重量不低于</w:t>
            </w:r>
            <w:r>
              <w:rPr>
                <w:rFonts w:hint="eastAsia" w:ascii="宋体" w:hAnsi="宋体" w:eastAsia="宋体" w:cs="宋体"/>
                <w:b w:val="0"/>
                <w:bCs w:val="0"/>
                <w:color w:val="auto"/>
                <w:szCs w:val="21"/>
                <w:highlight w:val="none"/>
                <w:lang w:val="en-US" w:eastAsia="zh-CN"/>
              </w:rPr>
              <w:t>30</w:t>
            </w:r>
            <w:r>
              <w:rPr>
                <w:rFonts w:hint="eastAsia" w:ascii="宋体" w:hAnsi="宋体" w:eastAsia="宋体" w:cs="宋体"/>
                <w:b w:val="0"/>
                <w:bCs w:val="0"/>
                <w:color w:val="auto"/>
                <w:szCs w:val="21"/>
                <w:highlight w:val="none"/>
              </w:rPr>
              <w:t>吨，提供机动车行驶证</w:t>
            </w:r>
            <w:r>
              <w:rPr>
                <w:rFonts w:hint="eastAsia" w:ascii="宋体" w:hAnsi="宋体" w:eastAsia="宋体" w:cs="宋体"/>
                <w:b w:val="0"/>
                <w:bCs w:val="0"/>
                <w:color w:val="auto"/>
                <w:szCs w:val="21"/>
                <w:highlight w:val="none"/>
                <w:lang w:val="en-US" w:eastAsia="zh-CN"/>
              </w:rPr>
              <w:t>或</w:t>
            </w:r>
            <w:r>
              <w:rPr>
                <w:rFonts w:hint="eastAsia" w:ascii="宋体" w:hAnsi="宋体" w:eastAsia="宋体" w:cs="宋体"/>
                <w:b w:val="0"/>
                <w:bCs w:val="0"/>
                <w:color w:val="auto"/>
                <w:szCs w:val="21"/>
                <w:highlight w:val="none"/>
              </w:rPr>
              <w:t>机动车登记证书</w:t>
            </w:r>
            <w:r>
              <w:rPr>
                <w:rFonts w:hint="eastAsia" w:ascii="宋体" w:hAnsi="宋体" w:eastAsia="宋体" w:cs="宋体"/>
                <w:b w:val="0"/>
                <w:bCs w:val="0"/>
                <w:color w:val="auto"/>
                <w:szCs w:val="21"/>
                <w:highlight w:val="none"/>
                <w:lang w:val="en-US" w:eastAsia="zh-CN"/>
              </w:rPr>
              <w:t>复印件</w:t>
            </w:r>
            <w:r>
              <w:rPr>
                <w:rFonts w:hint="eastAsia" w:ascii="宋体" w:hAnsi="宋体" w:eastAsia="宋体" w:cs="宋体"/>
                <w:b w:val="0"/>
                <w:bCs w:val="0"/>
                <w:color w:val="auto"/>
                <w:szCs w:val="21"/>
                <w:highlight w:val="none"/>
                <w:lang w:eastAsia="zh-CN"/>
              </w:rPr>
              <w:t>（</w:t>
            </w:r>
            <w:r>
              <w:rPr>
                <w:rFonts w:hint="eastAsia" w:ascii="宋体" w:hAnsi="宋体" w:eastAsia="宋体" w:cs="宋体"/>
                <w:b w:val="0"/>
                <w:bCs w:val="0"/>
                <w:color w:val="auto"/>
                <w:szCs w:val="21"/>
                <w:highlight w:val="none"/>
                <w:lang w:val="en-US" w:eastAsia="zh-CN"/>
              </w:rPr>
              <w:t>提供资料同通用资格中车辆要求</w:t>
            </w:r>
            <w:r>
              <w:rPr>
                <w:rFonts w:hint="eastAsia" w:ascii="宋体" w:hAnsi="宋体" w:eastAsia="宋体" w:cs="宋体"/>
                <w:b w:val="0"/>
                <w:bCs w:val="0"/>
                <w:color w:val="auto"/>
                <w:szCs w:val="21"/>
                <w:highlight w:val="none"/>
                <w:lang w:eastAsia="zh-CN"/>
              </w:rPr>
              <w:t>）</w:t>
            </w:r>
            <w:r>
              <w:rPr>
                <w:rFonts w:hint="eastAsia" w:ascii="宋体" w:hAnsi="宋体" w:eastAsia="宋体" w:cs="宋体"/>
                <w:b w:val="0"/>
                <w:bCs w:val="0"/>
                <w:color w:val="auto"/>
                <w:szCs w:val="21"/>
                <w:highlight w:val="none"/>
              </w:rPr>
              <w:t>。</w:t>
            </w:r>
          </w:p>
          <w:p w14:paraId="4A6CD746">
            <w:pPr>
              <w:keepNext w:val="0"/>
              <w:keepLines w:val="0"/>
              <w:pageBreakBefore w:val="0"/>
              <w:widowControl w:val="0"/>
              <w:numPr>
                <w:ilvl w:val="0"/>
                <w:numId w:val="0"/>
              </w:numPr>
              <w:suppressLineNumbers w:val="0"/>
              <w:kinsoku/>
              <w:wordWrap/>
              <w:overflowPunct/>
              <w:topLinePunct w:val="0"/>
              <w:autoSpaceDE/>
              <w:autoSpaceDN/>
              <w:bidi w:val="0"/>
              <w:snapToGrid w:val="0"/>
              <w:spacing w:before="0" w:beforeAutospacing="0" w:after="0" w:afterAutospacing="0" w:line="240" w:lineRule="auto"/>
              <w:ind w:left="0" w:right="0"/>
              <w:jc w:val="both"/>
              <w:textAlignment w:val="auto"/>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lang w:val="en-US" w:eastAsia="zh-CN"/>
              </w:rPr>
              <w:t>2.</w:t>
            </w:r>
            <w:r>
              <w:rPr>
                <w:rFonts w:hint="eastAsia" w:ascii="宋体" w:hAnsi="宋体" w:eastAsia="宋体" w:cs="宋体"/>
                <w:b w:val="0"/>
                <w:bCs w:val="0"/>
                <w:color w:val="auto"/>
                <w:szCs w:val="21"/>
                <w:highlight w:val="none"/>
              </w:rPr>
              <w:t>自202</w:t>
            </w:r>
            <w:r>
              <w:rPr>
                <w:rFonts w:hint="eastAsia" w:ascii="宋体" w:hAnsi="宋体" w:eastAsia="宋体" w:cs="宋体"/>
                <w:b w:val="0"/>
                <w:bCs w:val="0"/>
                <w:color w:val="auto"/>
                <w:szCs w:val="21"/>
                <w:highlight w:val="none"/>
                <w:lang w:val="en-US" w:eastAsia="zh-CN"/>
              </w:rPr>
              <w:t>3</w:t>
            </w:r>
            <w:r>
              <w:rPr>
                <w:rFonts w:hint="eastAsia" w:ascii="宋体" w:hAnsi="宋体" w:eastAsia="宋体" w:cs="宋体"/>
                <w:b w:val="0"/>
                <w:bCs w:val="0"/>
                <w:color w:val="auto"/>
                <w:szCs w:val="21"/>
                <w:highlight w:val="none"/>
              </w:rPr>
              <w:t>年1月1日以来（</w:t>
            </w:r>
            <w:r>
              <w:rPr>
                <w:rFonts w:hint="eastAsia" w:ascii="宋体" w:hAnsi="宋体" w:eastAsia="宋体" w:cs="宋体"/>
                <w:b w:val="0"/>
                <w:bCs w:val="0"/>
                <w:color w:val="auto"/>
                <w:szCs w:val="21"/>
                <w:highlight w:val="none"/>
                <w:lang w:eastAsia="zh-CN"/>
              </w:rPr>
              <w:t>以合同服务时间为准</w:t>
            </w:r>
            <w:r>
              <w:rPr>
                <w:rFonts w:hint="eastAsia" w:ascii="宋体" w:hAnsi="宋体" w:eastAsia="宋体" w:cs="宋体"/>
                <w:b w:val="0"/>
                <w:bCs w:val="0"/>
                <w:color w:val="auto"/>
                <w:szCs w:val="21"/>
                <w:highlight w:val="none"/>
              </w:rPr>
              <w:t>），具有</w:t>
            </w:r>
            <w:r>
              <w:rPr>
                <w:rFonts w:hint="eastAsia" w:ascii="宋体" w:hAnsi="宋体" w:eastAsia="宋体" w:cs="宋体"/>
                <w:b w:val="0"/>
                <w:bCs w:val="0"/>
                <w:color w:val="auto"/>
                <w:szCs w:val="21"/>
                <w:highlight w:val="none"/>
                <w:lang w:val="en-US" w:eastAsia="zh-CN"/>
              </w:rPr>
              <w:t>散装饲料运输</w:t>
            </w:r>
            <w:r>
              <w:rPr>
                <w:rFonts w:hint="eastAsia" w:ascii="宋体" w:hAnsi="宋体" w:eastAsia="宋体" w:cs="宋体"/>
                <w:b w:val="0"/>
                <w:bCs w:val="0"/>
                <w:color w:val="auto"/>
                <w:szCs w:val="21"/>
                <w:highlight w:val="none"/>
              </w:rPr>
              <w:t>服务经验</w:t>
            </w:r>
            <w:r>
              <w:rPr>
                <w:rFonts w:hint="eastAsia" w:ascii="宋体" w:hAnsi="宋体" w:eastAsia="宋体" w:cs="宋体"/>
                <w:b w:val="0"/>
                <w:bCs w:val="0"/>
                <w:color w:val="auto"/>
                <w:szCs w:val="21"/>
                <w:highlight w:val="none"/>
                <w:lang w:eastAsia="zh-CN"/>
              </w:rPr>
              <w:t>，</w:t>
            </w:r>
            <w:r>
              <w:rPr>
                <w:rFonts w:hint="eastAsia" w:ascii="宋体" w:hAnsi="宋体" w:eastAsia="宋体" w:cs="宋体"/>
                <w:b w:val="0"/>
                <w:bCs w:val="0"/>
                <w:color w:val="auto"/>
                <w:szCs w:val="21"/>
                <w:highlight w:val="none"/>
              </w:rPr>
              <w:t>提供2份</w:t>
            </w:r>
            <w:r>
              <w:rPr>
                <w:rFonts w:hint="eastAsia" w:ascii="宋体" w:hAnsi="宋体" w:eastAsia="宋体" w:cs="宋体"/>
                <w:b w:val="0"/>
                <w:bCs w:val="0"/>
                <w:color w:val="auto"/>
                <w:szCs w:val="21"/>
                <w:highlight w:val="none"/>
                <w:lang w:val="en-US" w:eastAsia="zh-CN"/>
              </w:rPr>
              <w:t>及以上</w:t>
            </w:r>
            <w:r>
              <w:rPr>
                <w:rFonts w:hint="eastAsia" w:ascii="宋体" w:hAnsi="宋体" w:eastAsia="宋体" w:cs="宋体"/>
                <w:b w:val="0"/>
                <w:bCs w:val="0"/>
                <w:color w:val="auto"/>
                <w:szCs w:val="21"/>
                <w:highlight w:val="none"/>
              </w:rPr>
              <w:t>业绩合同复印件</w:t>
            </w:r>
            <w:r>
              <w:rPr>
                <w:rFonts w:hint="eastAsia" w:ascii="宋体" w:hAnsi="宋体" w:eastAsia="宋体" w:cs="宋体"/>
                <w:b w:val="0"/>
                <w:bCs w:val="0"/>
                <w:color w:val="auto"/>
                <w:szCs w:val="21"/>
                <w:highlight w:val="none"/>
                <w:lang w:val="en-US" w:eastAsia="zh-CN"/>
              </w:rPr>
              <w:t>及对应发票影印件（业绩金额及发票要求详见通用业绩备注要求）</w:t>
            </w:r>
            <w:r>
              <w:rPr>
                <w:rFonts w:hint="eastAsia" w:ascii="宋体" w:hAnsi="宋体" w:eastAsia="宋体" w:cs="宋体"/>
                <w:b w:val="0"/>
                <w:bCs w:val="0"/>
                <w:color w:val="auto"/>
                <w:szCs w:val="21"/>
                <w:highlight w:val="none"/>
              </w:rPr>
              <w:t>。</w:t>
            </w:r>
          </w:p>
          <w:p w14:paraId="742111EE">
            <w:pPr>
              <w:keepNext w:val="0"/>
              <w:keepLines w:val="0"/>
              <w:pageBreakBefore w:val="0"/>
              <w:widowControl w:val="0"/>
              <w:numPr>
                <w:ilvl w:val="0"/>
                <w:numId w:val="0"/>
              </w:numPr>
              <w:suppressLineNumbers w:val="0"/>
              <w:kinsoku/>
              <w:wordWrap/>
              <w:overflowPunct/>
              <w:topLinePunct w:val="0"/>
              <w:autoSpaceDE/>
              <w:autoSpaceDN/>
              <w:bidi w:val="0"/>
              <w:snapToGrid w:val="0"/>
              <w:spacing w:before="0" w:beforeAutospacing="0" w:after="0" w:afterAutospacing="0" w:line="240" w:lineRule="auto"/>
              <w:ind w:left="0" w:right="0"/>
              <w:jc w:val="both"/>
              <w:textAlignment w:val="auto"/>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注：</w:t>
            </w:r>
            <w:r>
              <w:rPr>
                <w:rFonts w:hint="eastAsia" w:ascii="宋体" w:hAnsi="宋体" w:eastAsia="宋体" w:cs="宋体"/>
                <w:b w:val="0"/>
                <w:bCs w:val="0"/>
                <w:color w:val="auto"/>
                <w:szCs w:val="21"/>
                <w:highlight w:val="none"/>
                <w:lang w:val="en-US" w:eastAsia="zh-CN"/>
              </w:rPr>
              <w:t>行业客户包括但不限于以下品牌</w:t>
            </w:r>
            <w:r>
              <w:rPr>
                <w:rFonts w:hint="eastAsia" w:ascii="宋体" w:hAnsi="宋体" w:eastAsia="宋体" w:cs="宋体"/>
                <w:b w:val="0"/>
                <w:bCs w:val="0"/>
                <w:color w:val="auto"/>
                <w:szCs w:val="21"/>
                <w:highlight w:val="none"/>
                <w:lang w:eastAsia="zh-CN"/>
              </w:rPr>
              <w:t>：</w:t>
            </w:r>
            <w:r>
              <w:rPr>
                <w:rFonts w:hint="eastAsia" w:ascii="宋体" w:hAnsi="宋体" w:eastAsia="宋体" w:cs="宋体"/>
                <w:b w:val="0"/>
                <w:bCs w:val="0"/>
                <w:color w:val="auto"/>
                <w:szCs w:val="21"/>
                <w:highlight w:val="none"/>
                <w:lang w:val="en-US" w:eastAsia="zh-CN"/>
              </w:rPr>
              <w:t>家佳康、牧原、温氏、大北农、新希望</w:t>
            </w:r>
            <w:r>
              <w:rPr>
                <w:rFonts w:hint="eastAsia" w:ascii="宋体" w:hAnsi="宋体" w:eastAsia="宋体" w:cs="宋体"/>
                <w:b w:val="0"/>
                <w:bCs w:val="0"/>
                <w:color w:val="auto"/>
                <w:szCs w:val="21"/>
                <w:highlight w:val="none"/>
              </w:rPr>
              <w:t>等。</w:t>
            </w:r>
          </w:p>
          <w:p w14:paraId="4990AADD">
            <w:pPr>
              <w:keepNext w:val="0"/>
              <w:keepLines w:val="0"/>
              <w:pageBreakBefore w:val="0"/>
              <w:widowControl w:val="0"/>
              <w:numPr>
                <w:ilvl w:val="0"/>
                <w:numId w:val="0"/>
              </w:numPr>
              <w:suppressLineNumbers w:val="0"/>
              <w:kinsoku/>
              <w:wordWrap/>
              <w:overflowPunct/>
              <w:topLinePunct w:val="0"/>
              <w:autoSpaceDE/>
              <w:autoSpaceDN/>
              <w:bidi w:val="0"/>
              <w:snapToGrid w:val="0"/>
              <w:spacing w:before="0" w:beforeAutospacing="0" w:after="0" w:afterAutospacing="0" w:line="240" w:lineRule="auto"/>
              <w:ind w:left="0" w:right="0"/>
              <w:jc w:val="both"/>
              <w:textAlignment w:val="auto"/>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3.供应商须具备开具增值税普通发票的能力，发票税率不作要求；无需提供相关证明材料。</w:t>
            </w:r>
          </w:p>
        </w:tc>
      </w:tr>
      <w:tr w14:paraId="5493C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6" w:hRule="atLeast"/>
          <w:jc w:val="center"/>
        </w:trPr>
        <w:tc>
          <w:tcPr>
            <w:tcW w:w="786" w:type="pct"/>
            <w:noWrap w:val="0"/>
            <w:vAlign w:val="center"/>
          </w:tcPr>
          <w:p w14:paraId="486ECDE4">
            <w:pPr>
              <w:adjustRightInd w:val="0"/>
              <w:snapToGrid w:val="0"/>
              <w:jc w:val="center"/>
              <w:rPr>
                <w:rFonts w:hint="eastAsia" w:ascii="宋体" w:hAnsi="宋体" w:eastAsia="宋体" w:cs="宋体"/>
                <w:b/>
                <w:bCs w:val="0"/>
                <w:color w:val="auto"/>
                <w:szCs w:val="21"/>
                <w:highlight w:val="none"/>
                <w:lang w:val="en-US"/>
              </w:rPr>
            </w:pPr>
            <w:r>
              <w:rPr>
                <w:rFonts w:hint="eastAsia" w:ascii="宋体" w:hAnsi="宋体" w:eastAsia="宋体" w:cs="宋体"/>
                <w:b/>
                <w:bCs w:val="0"/>
                <w:color w:val="auto"/>
                <w:szCs w:val="21"/>
                <w:highlight w:val="none"/>
              </w:rPr>
              <w:t>采购包</w:t>
            </w:r>
            <w:r>
              <w:rPr>
                <w:rFonts w:hint="eastAsia" w:ascii="宋体" w:hAnsi="宋体" w:eastAsia="宋体" w:cs="宋体"/>
                <w:b/>
                <w:bCs w:val="0"/>
                <w:color w:val="auto"/>
                <w:szCs w:val="21"/>
                <w:highlight w:val="none"/>
                <w:lang w:val="en-US" w:eastAsia="zh-CN"/>
              </w:rPr>
              <w:t>25</w:t>
            </w:r>
          </w:p>
        </w:tc>
        <w:tc>
          <w:tcPr>
            <w:tcW w:w="545" w:type="pct"/>
            <w:noWrap w:val="0"/>
            <w:vAlign w:val="center"/>
          </w:tcPr>
          <w:p w14:paraId="6C348AF7">
            <w:pPr>
              <w:keepNext w:val="0"/>
              <w:keepLines w:val="0"/>
              <w:pageBreakBefore w:val="0"/>
              <w:widowControl w:val="0"/>
              <w:suppressLineNumbers w:val="0"/>
              <w:kinsoku/>
              <w:wordWrap/>
              <w:overflowPunct/>
              <w:topLinePunct w:val="0"/>
              <w:autoSpaceDE/>
              <w:autoSpaceDN/>
              <w:bidi w:val="0"/>
              <w:snapToGrid w:val="0"/>
              <w:spacing w:before="0" w:beforeAutospacing="0" w:after="0" w:afterAutospacing="0" w:line="240" w:lineRule="auto"/>
              <w:ind w:left="0" w:leftChars="0" w:right="0" w:righ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家佳康散装</w:t>
            </w:r>
            <w:r>
              <w:rPr>
                <w:rFonts w:hint="eastAsia" w:ascii="宋体" w:hAnsi="宋体" w:eastAsia="宋体" w:cs="宋体"/>
                <w:color w:val="auto"/>
                <w:szCs w:val="21"/>
                <w:highlight w:val="none"/>
                <w:lang w:val="en-US" w:eastAsia="zh-CN"/>
              </w:rPr>
              <w:t>成品</w:t>
            </w:r>
            <w:r>
              <w:rPr>
                <w:rFonts w:hint="eastAsia" w:ascii="宋体" w:hAnsi="宋体" w:eastAsia="宋体" w:cs="宋体"/>
                <w:color w:val="auto"/>
                <w:szCs w:val="21"/>
                <w:highlight w:val="none"/>
              </w:rPr>
              <w:t>饲料</w:t>
            </w:r>
            <w:r>
              <w:rPr>
                <w:rFonts w:hint="eastAsia" w:ascii="宋体" w:hAnsi="宋体" w:eastAsia="宋体" w:cs="宋体"/>
                <w:color w:val="auto"/>
                <w:szCs w:val="21"/>
                <w:highlight w:val="none"/>
                <w:lang w:val="en-US" w:eastAsia="zh-CN"/>
              </w:rPr>
              <w:t>新能源挂车</w:t>
            </w:r>
          </w:p>
        </w:tc>
        <w:tc>
          <w:tcPr>
            <w:tcW w:w="3668" w:type="pct"/>
            <w:noWrap w:val="0"/>
            <w:vAlign w:val="center"/>
          </w:tcPr>
          <w:p w14:paraId="7B3672CE">
            <w:pPr>
              <w:keepNext w:val="0"/>
              <w:keepLines w:val="0"/>
              <w:pageBreakBefore w:val="0"/>
              <w:widowControl w:val="0"/>
              <w:suppressLineNumbers w:val="0"/>
              <w:kinsoku/>
              <w:wordWrap/>
              <w:overflowPunct/>
              <w:topLinePunct w:val="0"/>
              <w:autoSpaceDE/>
              <w:autoSpaceDN/>
              <w:bidi w:val="0"/>
              <w:snapToGrid w:val="0"/>
              <w:spacing w:before="0" w:beforeAutospacing="0" w:after="0" w:afterAutospacing="0" w:line="240" w:lineRule="auto"/>
              <w:ind w:left="0" w:right="0"/>
              <w:jc w:val="both"/>
              <w:textAlignment w:val="auto"/>
              <w:rPr>
                <w:rFonts w:hint="eastAsia" w:ascii="宋体" w:hAnsi="宋体" w:eastAsia="宋体" w:cs="宋体"/>
                <w:b w:val="0"/>
                <w:bCs w:val="0"/>
                <w:color w:val="auto"/>
                <w:szCs w:val="21"/>
                <w:highlight w:val="none"/>
              </w:rPr>
            </w:pPr>
            <w:r>
              <w:rPr>
                <w:rFonts w:hint="eastAsia" w:ascii="宋体" w:hAnsi="宋体" w:eastAsia="宋体" w:cs="宋体"/>
                <w:b w:val="0"/>
                <w:bCs w:val="0"/>
                <w:color w:val="auto"/>
                <w:kern w:val="2"/>
                <w:sz w:val="21"/>
                <w:szCs w:val="21"/>
                <w:highlight w:val="none"/>
                <w:lang w:val="en-US" w:eastAsia="zh-CN" w:bidi="ar-SA"/>
              </w:rPr>
              <w:t>1.</w:t>
            </w:r>
            <w:r>
              <w:rPr>
                <w:rFonts w:hint="eastAsia" w:ascii="宋体" w:hAnsi="宋体" w:eastAsia="宋体" w:cs="宋体"/>
                <w:b w:val="0"/>
                <w:bCs w:val="0"/>
                <w:color w:val="auto"/>
                <w:sz w:val="21"/>
                <w:szCs w:val="21"/>
                <w:highlight w:val="none"/>
              </w:rPr>
              <w:t>具有</w:t>
            </w:r>
            <w:r>
              <w:rPr>
                <w:rFonts w:hint="eastAsia" w:ascii="宋体" w:hAnsi="宋体" w:eastAsia="宋体" w:cs="宋体"/>
                <w:b w:val="0"/>
                <w:bCs w:val="0"/>
                <w:color w:val="auto"/>
                <w:szCs w:val="21"/>
                <w:highlight w:val="none"/>
              </w:rPr>
              <w:t>自有车辆≥</w:t>
            </w:r>
            <w:r>
              <w:rPr>
                <w:rFonts w:hint="eastAsia" w:ascii="宋体" w:hAnsi="宋体" w:eastAsia="宋体" w:cs="宋体"/>
                <w:b w:val="0"/>
                <w:bCs w:val="0"/>
                <w:color w:val="auto"/>
                <w:szCs w:val="21"/>
                <w:highlight w:val="none"/>
                <w:lang w:val="en-US" w:eastAsia="zh-CN"/>
              </w:rPr>
              <w:t>5</w:t>
            </w:r>
            <w:r>
              <w:rPr>
                <w:rFonts w:hint="eastAsia" w:ascii="宋体" w:hAnsi="宋体" w:eastAsia="宋体" w:cs="宋体"/>
                <w:b w:val="0"/>
                <w:bCs w:val="0"/>
                <w:color w:val="auto"/>
                <w:szCs w:val="21"/>
                <w:highlight w:val="none"/>
              </w:rPr>
              <w:t>辆</w:t>
            </w:r>
            <w:r>
              <w:rPr>
                <w:rFonts w:hint="eastAsia" w:ascii="宋体" w:hAnsi="宋体" w:eastAsia="宋体" w:cs="宋体"/>
                <w:b w:val="0"/>
                <w:bCs w:val="0"/>
                <w:color w:val="auto"/>
                <w:szCs w:val="21"/>
                <w:highlight w:val="none"/>
                <w:lang w:eastAsia="zh-CN"/>
              </w:rPr>
              <w:t>，</w:t>
            </w:r>
            <w:r>
              <w:rPr>
                <w:rFonts w:hint="eastAsia" w:ascii="宋体" w:hAnsi="宋体" w:eastAsia="宋体" w:cs="宋体"/>
                <w:b w:val="0"/>
                <w:bCs w:val="0"/>
                <w:color w:val="auto"/>
                <w:szCs w:val="21"/>
                <w:highlight w:val="none"/>
                <w:lang w:val="en-US" w:eastAsia="zh-CN"/>
              </w:rPr>
              <w:t>其中新能源挂车</w:t>
            </w:r>
            <w:r>
              <w:rPr>
                <w:rFonts w:hint="eastAsia" w:ascii="宋体" w:hAnsi="宋体" w:eastAsia="宋体" w:cs="宋体"/>
                <w:b w:val="0"/>
                <w:bCs w:val="0"/>
                <w:color w:val="auto"/>
                <w:szCs w:val="21"/>
                <w:highlight w:val="none"/>
              </w:rPr>
              <w:t>车辆≥1辆，且</w:t>
            </w:r>
            <w:r>
              <w:rPr>
                <w:rFonts w:hint="eastAsia" w:ascii="宋体" w:hAnsi="宋体" w:eastAsia="宋体" w:cs="宋体"/>
                <w:b w:val="0"/>
                <w:bCs w:val="0"/>
                <w:color w:val="auto"/>
                <w:szCs w:val="21"/>
                <w:highlight w:val="none"/>
                <w:lang w:val="en-US" w:eastAsia="zh-CN"/>
              </w:rPr>
              <w:t>单量</w:t>
            </w:r>
            <w:r>
              <w:rPr>
                <w:rFonts w:hint="eastAsia" w:ascii="宋体" w:hAnsi="宋体" w:eastAsia="宋体" w:cs="宋体"/>
                <w:b w:val="0"/>
                <w:bCs w:val="0"/>
                <w:color w:val="auto"/>
                <w:szCs w:val="21"/>
                <w:highlight w:val="none"/>
              </w:rPr>
              <w:t>核定载重量不低于</w:t>
            </w:r>
            <w:r>
              <w:rPr>
                <w:rFonts w:hint="eastAsia" w:ascii="宋体" w:hAnsi="宋体" w:eastAsia="宋体" w:cs="宋体"/>
                <w:b w:val="0"/>
                <w:bCs w:val="0"/>
                <w:color w:val="auto"/>
                <w:szCs w:val="21"/>
                <w:highlight w:val="none"/>
                <w:lang w:val="en-US" w:eastAsia="zh-CN"/>
              </w:rPr>
              <w:t>30</w:t>
            </w:r>
            <w:r>
              <w:rPr>
                <w:rFonts w:hint="eastAsia" w:ascii="宋体" w:hAnsi="宋体" w:eastAsia="宋体" w:cs="宋体"/>
                <w:b w:val="0"/>
                <w:bCs w:val="0"/>
                <w:color w:val="auto"/>
                <w:szCs w:val="21"/>
                <w:highlight w:val="none"/>
              </w:rPr>
              <w:t>吨，提供</w:t>
            </w:r>
            <w:r>
              <w:rPr>
                <w:rFonts w:hint="eastAsia" w:ascii="宋体" w:hAnsi="宋体" w:eastAsia="宋体" w:cs="宋体"/>
                <w:b w:val="0"/>
                <w:bCs w:val="0"/>
                <w:color w:val="auto"/>
                <w:szCs w:val="21"/>
                <w:highlight w:val="none"/>
                <w:lang w:val="en-US" w:eastAsia="zh-CN"/>
              </w:rPr>
              <w:t>车辆</w:t>
            </w:r>
            <w:r>
              <w:rPr>
                <w:rFonts w:hint="eastAsia" w:ascii="宋体" w:hAnsi="宋体" w:eastAsia="宋体" w:cs="宋体"/>
                <w:b w:val="0"/>
                <w:bCs w:val="0"/>
                <w:color w:val="auto"/>
                <w:szCs w:val="21"/>
                <w:highlight w:val="none"/>
              </w:rPr>
              <w:t>行驶证</w:t>
            </w:r>
            <w:r>
              <w:rPr>
                <w:rFonts w:hint="eastAsia" w:ascii="宋体" w:hAnsi="宋体" w:eastAsia="宋体" w:cs="宋体"/>
                <w:b w:val="0"/>
                <w:bCs w:val="0"/>
                <w:color w:val="auto"/>
                <w:szCs w:val="21"/>
                <w:highlight w:val="none"/>
                <w:lang w:val="en-US" w:eastAsia="zh-CN"/>
              </w:rPr>
              <w:t>复印件</w:t>
            </w:r>
            <w:r>
              <w:rPr>
                <w:rFonts w:hint="eastAsia" w:ascii="宋体" w:hAnsi="宋体" w:eastAsia="宋体" w:cs="宋体"/>
                <w:b w:val="0"/>
                <w:bCs w:val="0"/>
                <w:color w:val="auto"/>
                <w:szCs w:val="21"/>
                <w:highlight w:val="none"/>
                <w:lang w:eastAsia="zh-CN"/>
              </w:rPr>
              <w:t>（</w:t>
            </w:r>
            <w:r>
              <w:rPr>
                <w:rFonts w:hint="eastAsia" w:ascii="宋体" w:hAnsi="宋体" w:eastAsia="宋体" w:cs="宋体"/>
                <w:b w:val="0"/>
                <w:bCs w:val="0"/>
                <w:color w:val="auto"/>
                <w:szCs w:val="21"/>
                <w:highlight w:val="none"/>
                <w:lang w:val="en-US" w:eastAsia="zh-CN"/>
              </w:rPr>
              <w:t>提供资料同通用资格中车辆要求</w:t>
            </w:r>
            <w:r>
              <w:rPr>
                <w:rFonts w:hint="eastAsia" w:ascii="宋体" w:hAnsi="宋体" w:eastAsia="宋体" w:cs="宋体"/>
                <w:b w:val="0"/>
                <w:bCs w:val="0"/>
                <w:color w:val="auto"/>
                <w:szCs w:val="21"/>
                <w:highlight w:val="none"/>
                <w:lang w:eastAsia="zh-CN"/>
              </w:rPr>
              <w:t>）</w:t>
            </w:r>
            <w:r>
              <w:rPr>
                <w:rFonts w:hint="eastAsia" w:ascii="宋体" w:hAnsi="宋体" w:eastAsia="宋体" w:cs="宋体"/>
                <w:b w:val="0"/>
                <w:bCs w:val="0"/>
                <w:color w:val="auto"/>
                <w:szCs w:val="21"/>
                <w:highlight w:val="none"/>
              </w:rPr>
              <w:t>。</w:t>
            </w:r>
          </w:p>
          <w:p w14:paraId="37C4C2C5">
            <w:pPr>
              <w:keepNext w:val="0"/>
              <w:keepLines w:val="0"/>
              <w:pageBreakBefore w:val="0"/>
              <w:widowControl w:val="0"/>
              <w:numPr>
                <w:ilvl w:val="0"/>
                <w:numId w:val="0"/>
              </w:numPr>
              <w:suppressLineNumbers w:val="0"/>
              <w:kinsoku/>
              <w:wordWrap/>
              <w:overflowPunct/>
              <w:topLinePunct w:val="0"/>
              <w:autoSpaceDE/>
              <w:autoSpaceDN/>
              <w:bidi w:val="0"/>
              <w:snapToGrid w:val="0"/>
              <w:spacing w:before="0" w:beforeAutospacing="0" w:after="0" w:afterAutospacing="0" w:line="240" w:lineRule="auto"/>
              <w:ind w:left="0" w:leftChars="0" w:right="0" w:rightChars="0"/>
              <w:jc w:val="both"/>
              <w:textAlignment w:val="auto"/>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2.电车满足高温75度烘干30分钟的生物防疫要求。</w:t>
            </w:r>
          </w:p>
          <w:p w14:paraId="0ACA56DC">
            <w:pPr>
              <w:keepNext w:val="0"/>
              <w:keepLines w:val="0"/>
              <w:pageBreakBefore w:val="0"/>
              <w:widowControl w:val="0"/>
              <w:numPr>
                <w:ilvl w:val="0"/>
                <w:numId w:val="0"/>
              </w:numPr>
              <w:suppressLineNumbers w:val="0"/>
              <w:kinsoku/>
              <w:wordWrap/>
              <w:overflowPunct/>
              <w:topLinePunct w:val="0"/>
              <w:autoSpaceDE/>
              <w:autoSpaceDN/>
              <w:bidi w:val="0"/>
              <w:snapToGrid w:val="0"/>
              <w:spacing w:before="0" w:beforeAutospacing="0" w:after="0" w:afterAutospacing="0" w:line="240" w:lineRule="auto"/>
              <w:ind w:left="0" w:leftChars="0" w:right="0" w:rightChars="0"/>
              <w:jc w:val="both"/>
              <w:textAlignment w:val="auto"/>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lang w:val="en-US" w:eastAsia="zh-CN"/>
              </w:rPr>
              <w:t>3.</w:t>
            </w:r>
            <w:r>
              <w:rPr>
                <w:rFonts w:hint="eastAsia" w:ascii="宋体" w:hAnsi="宋体" w:eastAsia="宋体" w:cs="宋体"/>
                <w:b w:val="0"/>
                <w:bCs w:val="0"/>
                <w:color w:val="auto"/>
                <w:szCs w:val="21"/>
                <w:highlight w:val="none"/>
              </w:rPr>
              <w:t>自202</w:t>
            </w:r>
            <w:r>
              <w:rPr>
                <w:rFonts w:hint="eastAsia" w:ascii="宋体" w:hAnsi="宋体" w:eastAsia="宋体" w:cs="宋体"/>
                <w:b w:val="0"/>
                <w:bCs w:val="0"/>
                <w:color w:val="auto"/>
                <w:szCs w:val="21"/>
                <w:highlight w:val="none"/>
                <w:lang w:val="en-US" w:eastAsia="zh-CN"/>
              </w:rPr>
              <w:t>3</w:t>
            </w:r>
            <w:r>
              <w:rPr>
                <w:rFonts w:hint="eastAsia" w:ascii="宋体" w:hAnsi="宋体" w:eastAsia="宋体" w:cs="宋体"/>
                <w:b w:val="0"/>
                <w:bCs w:val="0"/>
                <w:color w:val="auto"/>
                <w:szCs w:val="21"/>
                <w:highlight w:val="none"/>
              </w:rPr>
              <w:t>年1月1日以来（</w:t>
            </w:r>
            <w:r>
              <w:rPr>
                <w:rFonts w:hint="eastAsia" w:ascii="宋体" w:hAnsi="宋体" w:eastAsia="宋体" w:cs="宋体"/>
                <w:b w:val="0"/>
                <w:bCs w:val="0"/>
                <w:color w:val="auto"/>
                <w:szCs w:val="21"/>
                <w:highlight w:val="none"/>
                <w:lang w:eastAsia="zh-CN"/>
              </w:rPr>
              <w:t>以合同服务时间为准</w:t>
            </w:r>
            <w:r>
              <w:rPr>
                <w:rFonts w:hint="eastAsia" w:ascii="宋体" w:hAnsi="宋体" w:eastAsia="宋体" w:cs="宋体"/>
                <w:b w:val="0"/>
                <w:bCs w:val="0"/>
                <w:color w:val="auto"/>
                <w:szCs w:val="21"/>
                <w:highlight w:val="none"/>
              </w:rPr>
              <w:t>），具有</w:t>
            </w:r>
            <w:r>
              <w:rPr>
                <w:rFonts w:hint="eastAsia" w:ascii="宋体" w:hAnsi="宋体" w:eastAsia="宋体" w:cs="宋体"/>
                <w:b w:val="0"/>
                <w:bCs w:val="0"/>
                <w:color w:val="auto"/>
                <w:szCs w:val="21"/>
                <w:highlight w:val="none"/>
                <w:lang w:val="en-US" w:eastAsia="zh-CN"/>
              </w:rPr>
              <w:t>散装饲料运输</w:t>
            </w:r>
            <w:r>
              <w:rPr>
                <w:rFonts w:hint="eastAsia" w:ascii="宋体" w:hAnsi="宋体" w:eastAsia="宋体" w:cs="宋体"/>
                <w:b w:val="0"/>
                <w:bCs w:val="0"/>
                <w:color w:val="auto"/>
                <w:szCs w:val="21"/>
                <w:highlight w:val="none"/>
              </w:rPr>
              <w:t>服务经验</w:t>
            </w:r>
            <w:r>
              <w:rPr>
                <w:rFonts w:hint="eastAsia" w:ascii="宋体" w:hAnsi="宋体" w:eastAsia="宋体" w:cs="宋体"/>
                <w:b w:val="0"/>
                <w:bCs w:val="0"/>
                <w:color w:val="auto"/>
                <w:szCs w:val="21"/>
                <w:highlight w:val="none"/>
                <w:lang w:eastAsia="zh-CN"/>
              </w:rPr>
              <w:t>，</w:t>
            </w:r>
            <w:r>
              <w:rPr>
                <w:rFonts w:hint="eastAsia" w:ascii="宋体" w:hAnsi="宋体" w:eastAsia="宋体" w:cs="宋体"/>
                <w:b w:val="0"/>
                <w:bCs w:val="0"/>
                <w:color w:val="auto"/>
                <w:szCs w:val="21"/>
                <w:highlight w:val="none"/>
              </w:rPr>
              <w:t>提供2份</w:t>
            </w:r>
            <w:r>
              <w:rPr>
                <w:rFonts w:hint="eastAsia" w:ascii="宋体" w:hAnsi="宋体" w:eastAsia="宋体" w:cs="宋体"/>
                <w:b w:val="0"/>
                <w:bCs w:val="0"/>
                <w:color w:val="auto"/>
                <w:szCs w:val="21"/>
                <w:highlight w:val="none"/>
                <w:lang w:val="en-US" w:eastAsia="zh-CN"/>
              </w:rPr>
              <w:t>及以上</w:t>
            </w:r>
            <w:r>
              <w:rPr>
                <w:rFonts w:hint="eastAsia" w:ascii="宋体" w:hAnsi="宋体" w:eastAsia="宋体" w:cs="宋体"/>
                <w:b w:val="0"/>
                <w:bCs w:val="0"/>
                <w:color w:val="auto"/>
                <w:szCs w:val="21"/>
                <w:highlight w:val="none"/>
              </w:rPr>
              <w:t>业绩合同复印件</w:t>
            </w:r>
            <w:r>
              <w:rPr>
                <w:rFonts w:hint="eastAsia" w:ascii="宋体" w:hAnsi="宋体" w:eastAsia="宋体" w:cs="宋体"/>
                <w:b w:val="0"/>
                <w:bCs w:val="0"/>
                <w:color w:val="auto"/>
                <w:szCs w:val="21"/>
                <w:highlight w:val="none"/>
                <w:lang w:val="en-US" w:eastAsia="zh-CN"/>
              </w:rPr>
              <w:t>及对应发票影印件（业绩金额及发票要求详见通用业绩备注要求）</w:t>
            </w:r>
            <w:r>
              <w:rPr>
                <w:rFonts w:hint="eastAsia" w:ascii="宋体" w:hAnsi="宋体" w:eastAsia="宋体" w:cs="宋体"/>
                <w:b w:val="0"/>
                <w:bCs w:val="0"/>
                <w:color w:val="auto"/>
                <w:szCs w:val="21"/>
                <w:highlight w:val="none"/>
              </w:rPr>
              <w:t>。</w:t>
            </w:r>
          </w:p>
          <w:p w14:paraId="5DDEB790">
            <w:pPr>
              <w:keepNext w:val="0"/>
              <w:keepLines w:val="0"/>
              <w:pageBreakBefore w:val="0"/>
              <w:widowControl w:val="0"/>
              <w:numPr>
                <w:ilvl w:val="0"/>
                <w:numId w:val="0"/>
              </w:numPr>
              <w:suppressLineNumbers w:val="0"/>
              <w:kinsoku/>
              <w:wordWrap/>
              <w:overflowPunct/>
              <w:topLinePunct w:val="0"/>
              <w:autoSpaceDE/>
              <w:autoSpaceDN/>
              <w:bidi w:val="0"/>
              <w:snapToGrid w:val="0"/>
              <w:spacing w:before="0" w:beforeAutospacing="0" w:after="0" w:afterAutospacing="0" w:line="240" w:lineRule="auto"/>
              <w:ind w:left="0" w:leftChars="0" w:right="0" w:rightChars="0"/>
              <w:jc w:val="both"/>
              <w:textAlignment w:val="auto"/>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4.供应商须具备开具增值税普通发票的能力，发票税率不作要求；无需提供相关证明材料。</w:t>
            </w:r>
          </w:p>
        </w:tc>
      </w:tr>
      <w:tr w14:paraId="72FBA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6" w:type="pct"/>
            <w:noWrap w:val="0"/>
            <w:vAlign w:val="center"/>
          </w:tcPr>
          <w:p w14:paraId="51CD18F1">
            <w:pPr>
              <w:adjustRightInd w:val="0"/>
              <w:snapToGrid w:val="0"/>
              <w:jc w:val="center"/>
              <w:rPr>
                <w:rFonts w:hint="eastAsia" w:ascii="宋体" w:hAnsi="宋体" w:eastAsia="宋体" w:cs="宋体"/>
                <w:b/>
                <w:bCs w:val="0"/>
                <w:color w:val="auto"/>
                <w:szCs w:val="21"/>
                <w:highlight w:val="none"/>
                <w:lang w:val="en-US"/>
              </w:rPr>
            </w:pPr>
            <w:r>
              <w:rPr>
                <w:rFonts w:hint="eastAsia" w:ascii="宋体" w:hAnsi="宋体" w:eastAsia="宋体" w:cs="宋体"/>
                <w:b/>
                <w:bCs w:val="0"/>
                <w:color w:val="auto"/>
                <w:szCs w:val="21"/>
                <w:highlight w:val="none"/>
              </w:rPr>
              <w:t>采购包</w:t>
            </w:r>
            <w:r>
              <w:rPr>
                <w:rFonts w:hint="eastAsia" w:ascii="宋体" w:hAnsi="宋体" w:eastAsia="宋体" w:cs="宋体"/>
                <w:b/>
                <w:bCs w:val="0"/>
                <w:color w:val="auto"/>
                <w:szCs w:val="21"/>
                <w:highlight w:val="none"/>
                <w:lang w:val="en-US" w:eastAsia="zh-CN"/>
              </w:rPr>
              <w:t>26-28</w:t>
            </w:r>
          </w:p>
        </w:tc>
        <w:tc>
          <w:tcPr>
            <w:tcW w:w="545" w:type="pct"/>
            <w:noWrap w:val="0"/>
            <w:vAlign w:val="center"/>
          </w:tcPr>
          <w:p w14:paraId="1E0E0467">
            <w:pPr>
              <w:keepNext w:val="0"/>
              <w:keepLines w:val="0"/>
              <w:pageBreakBefore w:val="0"/>
              <w:widowControl w:val="0"/>
              <w:suppressLineNumbers w:val="0"/>
              <w:kinsoku/>
              <w:wordWrap/>
              <w:overflowPunct/>
              <w:topLinePunct w:val="0"/>
              <w:autoSpaceDE/>
              <w:autoSpaceDN/>
              <w:bidi w:val="0"/>
              <w:snapToGrid w:val="0"/>
              <w:spacing w:before="0" w:beforeAutospacing="0" w:after="0" w:afterAutospacing="0" w:line="240" w:lineRule="auto"/>
              <w:ind w:left="0" w:leftChars="0" w:right="0" w:righ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家佳康牲猪物流</w:t>
            </w:r>
            <w:r>
              <w:rPr>
                <w:rFonts w:hint="eastAsia" w:ascii="宋体" w:hAnsi="宋体" w:eastAsia="宋体" w:cs="宋体"/>
                <w:color w:val="auto"/>
                <w:szCs w:val="21"/>
                <w:highlight w:val="none"/>
                <w:lang w:val="en-US" w:eastAsia="zh-CN"/>
              </w:rPr>
              <w:t>高栏猪车</w:t>
            </w:r>
          </w:p>
        </w:tc>
        <w:tc>
          <w:tcPr>
            <w:tcW w:w="3668" w:type="pct"/>
            <w:noWrap w:val="0"/>
            <w:vAlign w:val="center"/>
          </w:tcPr>
          <w:p w14:paraId="2FC87E5C">
            <w:pPr>
              <w:keepNext w:val="0"/>
              <w:keepLines w:val="0"/>
              <w:pageBreakBefore w:val="0"/>
              <w:widowControl w:val="0"/>
              <w:suppressLineNumbers w:val="0"/>
              <w:kinsoku/>
              <w:wordWrap/>
              <w:overflowPunct/>
              <w:topLinePunct w:val="0"/>
              <w:autoSpaceDE/>
              <w:autoSpaceDN/>
              <w:bidi w:val="0"/>
              <w:snapToGrid w:val="0"/>
              <w:spacing w:before="0" w:beforeAutospacing="0" w:after="0" w:afterAutospacing="0" w:line="240" w:lineRule="auto"/>
              <w:ind w:left="0" w:right="0"/>
              <w:jc w:val="both"/>
              <w:textAlignment w:val="auto"/>
              <w:rPr>
                <w:rFonts w:hint="eastAsia" w:ascii="宋体" w:hAnsi="宋体" w:eastAsia="宋体" w:cs="宋体"/>
                <w:b w:val="0"/>
                <w:bCs w:val="0"/>
                <w:color w:val="auto"/>
                <w:szCs w:val="21"/>
                <w:highlight w:val="none"/>
                <w:lang w:eastAsia="zh-CN"/>
              </w:rPr>
            </w:pPr>
            <w:r>
              <w:rPr>
                <w:rFonts w:hint="eastAsia" w:ascii="宋体" w:hAnsi="宋体" w:eastAsia="宋体" w:cs="宋体"/>
                <w:b w:val="0"/>
                <w:bCs w:val="0"/>
                <w:color w:val="auto"/>
                <w:szCs w:val="21"/>
                <w:highlight w:val="none"/>
              </w:rPr>
              <w:t>1.</w:t>
            </w:r>
            <w:r>
              <w:rPr>
                <w:rFonts w:hint="eastAsia" w:ascii="宋体" w:hAnsi="宋体" w:eastAsia="宋体" w:cs="宋体"/>
                <w:b w:val="0"/>
                <w:bCs w:val="0"/>
                <w:color w:val="auto"/>
                <w:sz w:val="21"/>
                <w:szCs w:val="21"/>
                <w:highlight w:val="none"/>
              </w:rPr>
              <w:t>具有</w:t>
            </w:r>
            <w:r>
              <w:rPr>
                <w:rFonts w:hint="eastAsia" w:ascii="宋体" w:hAnsi="宋体" w:eastAsia="宋体" w:cs="宋体"/>
                <w:b w:val="0"/>
                <w:bCs w:val="0"/>
                <w:color w:val="auto"/>
                <w:szCs w:val="21"/>
                <w:highlight w:val="none"/>
              </w:rPr>
              <w:t>自有</w:t>
            </w:r>
            <w:r>
              <w:rPr>
                <w:rFonts w:hint="eastAsia" w:ascii="宋体" w:hAnsi="宋体" w:eastAsia="宋体" w:cs="宋体"/>
                <w:b w:val="0"/>
                <w:bCs w:val="0"/>
                <w:color w:val="auto"/>
                <w:szCs w:val="21"/>
                <w:highlight w:val="none"/>
                <w:lang w:val="en-US" w:eastAsia="zh-CN"/>
              </w:rPr>
              <w:t>高栏</w:t>
            </w:r>
            <w:r>
              <w:rPr>
                <w:rFonts w:hint="eastAsia" w:ascii="宋体" w:hAnsi="宋体" w:eastAsia="宋体" w:cs="宋体"/>
                <w:b w:val="0"/>
                <w:bCs w:val="0"/>
                <w:color w:val="auto"/>
                <w:szCs w:val="21"/>
                <w:highlight w:val="none"/>
              </w:rPr>
              <w:t>牲猪运输车辆≥10辆，提供</w:t>
            </w:r>
            <w:r>
              <w:rPr>
                <w:rFonts w:hint="eastAsia" w:ascii="宋体" w:hAnsi="宋体" w:eastAsia="宋体" w:cs="宋体"/>
                <w:b w:val="0"/>
                <w:bCs w:val="0"/>
                <w:color w:val="auto"/>
                <w:szCs w:val="21"/>
                <w:highlight w:val="none"/>
                <w:lang w:val="en-US" w:eastAsia="zh-CN"/>
              </w:rPr>
              <w:t>车辆</w:t>
            </w:r>
            <w:r>
              <w:rPr>
                <w:rFonts w:hint="eastAsia" w:ascii="宋体" w:hAnsi="宋体" w:eastAsia="宋体" w:cs="宋体"/>
                <w:b w:val="0"/>
                <w:bCs w:val="0"/>
                <w:color w:val="auto"/>
                <w:szCs w:val="21"/>
                <w:highlight w:val="none"/>
              </w:rPr>
              <w:t>行驶证</w:t>
            </w:r>
            <w:r>
              <w:rPr>
                <w:rFonts w:hint="eastAsia" w:ascii="宋体" w:hAnsi="宋体" w:eastAsia="宋体" w:cs="宋体"/>
                <w:b w:val="0"/>
                <w:bCs w:val="0"/>
                <w:color w:val="auto"/>
                <w:szCs w:val="21"/>
                <w:highlight w:val="none"/>
                <w:lang w:val="en-US" w:eastAsia="zh-CN"/>
              </w:rPr>
              <w:t>复印件</w:t>
            </w:r>
            <w:r>
              <w:rPr>
                <w:rFonts w:hint="eastAsia" w:ascii="宋体" w:hAnsi="宋体" w:eastAsia="宋体" w:cs="宋体"/>
                <w:b w:val="0"/>
                <w:bCs w:val="0"/>
                <w:color w:val="auto"/>
                <w:szCs w:val="21"/>
                <w:highlight w:val="none"/>
                <w:lang w:eastAsia="zh-CN"/>
              </w:rPr>
              <w:t>（</w:t>
            </w:r>
            <w:r>
              <w:rPr>
                <w:rFonts w:hint="eastAsia" w:ascii="宋体" w:hAnsi="宋体" w:eastAsia="宋体" w:cs="宋体"/>
                <w:b w:val="0"/>
                <w:bCs w:val="0"/>
                <w:color w:val="auto"/>
                <w:szCs w:val="21"/>
                <w:highlight w:val="none"/>
                <w:lang w:val="en-US" w:eastAsia="zh-CN"/>
              </w:rPr>
              <w:t>提供资料同通用资格中车辆要求</w:t>
            </w:r>
            <w:r>
              <w:rPr>
                <w:rFonts w:hint="eastAsia" w:ascii="宋体" w:hAnsi="宋体" w:eastAsia="宋体" w:cs="宋体"/>
                <w:b w:val="0"/>
                <w:bCs w:val="0"/>
                <w:color w:val="auto"/>
                <w:szCs w:val="21"/>
                <w:highlight w:val="none"/>
                <w:lang w:eastAsia="zh-CN"/>
              </w:rPr>
              <w:t>）</w:t>
            </w:r>
            <w:r>
              <w:rPr>
                <w:rFonts w:hint="eastAsia" w:ascii="宋体" w:hAnsi="宋体" w:eastAsia="宋体" w:cs="宋体"/>
                <w:b w:val="0"/>
                <w:bCs w:val="0"/>
                <w:color w:val="auto"/>
                <w:szCs w:val="21"/>
                <w:highlight w:val="none"/>
              </w:rPr>
              <w:t>。</w:t>
            </w:r>
          </w:p>
          <w:p w14:paraId="3EF2435B">
            <w:pPr>
              <w:keepNext w:val="0"/>
              <w:keepLines w:val="0"/>
              <w:pageBreakBefore w:val="0"/>
              <w:widowControl w:val="0"/>
              <w:suppressLineNumbers w:val="0"/>
              <w:kinsoku/>
              <w:wordWrap/>
              <w:overflowPunct/>
              <w:topLinePunct w:val="0"/>
              <w:autoSpaceDE/>
              <w:autoSpaceDN/>
              <w:bidi w:val="0"/>
              <w:snapToGrid w:val="0"/>
              <w:spacing w:before="0" w:beforeAutospacing="0" w:after="0" w:afterAutospacing="0" w:line="240" w:lineRule="auto"/>
              <w:ind w:left="0" w:right="0"/>
              <w:jc w:val="both"/>
              <w:textAlignment w:val="auto"/>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2.供应商牲猪运输车辆须提供《畜禽运输车辆管理备案表》，提供证明材料或“牧讯通”截图。</w:t>
            </w:r>
          </w:p>
          <w:p w14:paraId="69A6753E">
            <w:pPr>
              <w:keepNext w:val="0"/>
              <w:keepLines w:val="0"/>
              <w:pageBreakBefore w:val="0"/>
              <w:widowControl w:val="0"/>
              <w:suppressLineNumbers w:val="0"/>
              <w:kinsoku/>
              <w:wordWrap/>
              <w:overflowPunct/>
              <w:topLinePunct w:val="0"/>
              <w:autoSpaceDE/>
              <w:autoSpaceDN/>
              <w:bidi w:val="0"/>
              <w:snapToGrid w:val="0"/>
              <w:spacing w:before="0" w:beforeAutospacing="0" w:after="0" w:afterAutospacing="0" w:line="240" w:lineRule="auto"/>
              <w:ind w:left="0" w:right="0"/>
              <w:jc w:val="both"/>
              <w:textAlignment w:val="auto"/>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3.自202</w:t>
            </w:r>
            <w:r>
              <w:rPr>
                <w:rFonts w:hint="eastAsia" w:ascii="宋体" w:hAnsi="宋体" w:eastAsia="宋体" w:cs="宋体"/>
                <w:b w:val="0"/>
                <w:bCs w:val="0"/>
                <w:color w:val="auto"/>
                <w:szCs w:val="21"/>
                <w:highlight w:val="none"/>
                <w:lang w:val="en-US" w:eastAsia="zh-CN"/>
              </w:rPr>
              <w:t>3</w:t>
            </w:r>
            <w:r>
              <w:rPr>
                <w:rFonts w:hint="eastAsia" w:ascii="宋体" w:hAnsi="宋体" w:eastAsia="宋体" w:cs="宋体"/>
                <w:b w:val="0"/>
                <w:bCs w:val="0"/>
                <w:color w:val="auto"/>
                <w:szCs w:val="21"/>
                <w:highlight w:val="none"/>
              </w:rPr>
              <w:t>年1月1日以来（</w:t>
            </w:r>
            <w:r>
              <w:rPr>
                <w:rFonts w:hint="eastAsia" w:ascii="宋体" w:hAnsi="宋体" w:eastAsia="宋体" w:cs="宋体"/>
                <w:b w:val="0"/>
                <w:bCs w:val="0"/>
                <w:color w:val="auto"/>
                <w:szCs w:val="21"/>
                <w:highlight w:val="none"/>
                <w:lang w:eastAsia="zh-CN"/>
              </w:rPr>
              <w:t>以合同服务时间为准</w:t>
            </w:r>
            <w:r>
              <w:rPr>
                <w:rFonts w:hint="eastAsia" w:ascii="宋体" w:hAnsi="宋体" w:eastAsia="宋体" w:cs="宋体"/>
                <w:b w:val="0"/>
                <w:bCs w:val="0"/>
                <w:color w:val="auto"/>
                <w:szCs w:val="21"/>
                <w:highlight w:val="none"/>
              </w:rPr>
              <w:t>），具有牲猪运输服务经验</w:t>
            </w:r>
            <w:r>
              <w:rPr>
                <w:rFonts w:hint="eastAsia" w:ascii="宋体" w:hAnsi="宋体" w:eastAsia="宋体" w:cs="宋体"/>
                <w:b w:val="0"/>
                <w:bCs w:val="0"/>
                <w:color w:val="auto"/>
                <w:szCs w:val="21"/>
                <w:highlight w:val="none"/>
                <w:lang w:eastAsia="zh-CN"/>
              </w:rPr>
              <w:t>，</w:t>
            </w:r>
            <w:r>
              <w:rPr>
                <w:rFonts w:hint="eastAsia" w:ascii="宋体" w:hAnsi="宋体" w:eastAsia="宋体" w:cs="宋体"/>
                <w:b w:val="0"/>
                <w:bCs w:val="0"/>
                <w:color w:val="auto"/>
                <w:szCs w:val="21"/>
                <w:highlight w:val="none"/>
              </w:rPr>
              <w:t>提供2份</w:t>
            </w:r>
            <w:r>
              <w:rPr>
                <w:rFonts w:hint="eastAsia" w:ascii="宋体" w:hAnsi="宋体" w:eastAsia="宋体" w:cs="宋体"/>
                <w:b w:val="0"/>
                <w:bCs w:val="0"/>
                <w:color w:val="auto"/>
                <w:szCs w:val="21"/>
                <w:highlight w:val="none"/>
                <w:lang w:val="en-US" w:eastAsia="zh-CN"/>
              </w:rPr>
              <w:t>及以上</w:t>
            </w:r>
            <w:r>
              <w:rPr>
                <w:rFonts w:hint="eastAsia" w:ascii="宋体" w:hAnsi="宋体" w:eastAsia="宋体" w:cs="宋体"/>
                <w:b w:val="0"/>
                <w:bCs w:val="0"/>
                <w:color w:val="auto"/>
                <w:szCs w:val="21"/>
                <w:highlight w:val="none"/>
              </w:rPr>
              <w:t>业绩合同复印件</w:t>
            </w:r>
            <w:r>
              <w:rPr>
                <w:rFonts w:hint="eastAsia" w:ascii="宋体" w:hAnsi="宋体" w:eastAsia="宋体" w:cs="宋体"/>
                <w:b w:val="0"/>
                <w:bCs w:val="0"/>
                <w:color w:val="auto"/>
                <w:szCs w:val="21"/>
                <w:highlight w:val="none"/>
                <w:lang w:val="en-US" w:eastAsia="zh-CN"/>
              </w:rPr>
              <w:t>及对应发票影印件（业绩金额及发票要求详见通用业绩备注要求）</w:t>
            </w:r>
            <w:r>
              <w:rPr>
                <w:rFonts w:hint="eastAsia" w:ascii="宋体" w:hAnsi="宋体" w:eastAsia="宋体" w:cs="宋体"/>
                <w:b w:val="0"/>
                <w:bCs w:val="0"/>
                <w:color w:val="auto"/>
                <w:szCs w:val="21"/>
                <w:highlight w:val="none"/>
              </w:rPr>
              <w:t>。</w:t>
            </w:r>
          </w:p>
          <w:p w14:paraId="495616D9">
            <w:pPr>
              <w:keepNext w:val="0"/>
              <w:keepLines w:val="0"/>
              <w:pageBreakBefore w:val="0"/>
              <w:widowControl w:val="0"/>
              <w:suppressLineNumbers w:val="0"/>
              <w:kinsoku/>
              <w:wordWrap/>
              <w:overflowPunct/>
              <w:topLinePunct w:val="0"/>
              <w:autoSpaceDE/>
              <w:autoSpaceDN/>
              <w:bidi w:val="0"/>
              <w:snapToGrid w:val="0"/>
              <w:spacing w:before="0" w:beforeAutospacing="0" w:after="0" w:afterAutospacing="0" w:line="240" w:lineRule="auto"/>
              <w:ind w:left="0" w:right="0"/>
              <w:jc w:val="both"/>
              <w:textAlignment w:val="auto"/>
              <w:rPr>
                <w:rFonts w:hint="eastAsia" w:ascii="宋体" w:hAnsi="宋体" w:eastAsia="宋体" w:cs="宋体"/>
                <w:b w:val="0"/>
                <w:bCs w:val="0"/>
                <w:color w:val="auto"/>
                <w:szCs w:val="21"/>
                <w:highlight w:val="none"/>
                <w:lang w:eastAsia="zh-CN"/>
              </w:rPr>
            </w:pPr>
            <w:r>
              <w:rPr>
                <w:rFonts w:hint="eastAsia" w:ascii="宋体" w:hAnsi="宋体" w:eastAsia="宋体" w:cs="宋体"/>
                <w:b w:val="0"/>
                <w:bCs w:val="0"/>
                <w:color w:val="auto"/>
                <w:szCs w:val="21"/>
                <w:highlight w:val="none"/>
              </w:rPr>
              <w:t>注：</w:t>
            </w:r>
            <w:r>
              <w:rPr>
                <w:rFonts w:hint="eastAsia" w:ascii="宋体" w:hAnsi="宋体" w:eastAsia="宋体" w:cs="宋体"/>
                <w:b w:val="0"/>
                <w:bCs w:val="0"/>
                <w:color w:val="auto"/>
                <w:szCs w:val="21"/>
                <w:highlight w:val="none"/>
                <w:lang w:val="en-US" w:eastAsia="zh-CN"/>
              </w:rPr>
              <w:t>行业客户包括但不限于以下品牌</w:t>
            </w:r>
            <w:r>
              <w:rPr>
                <w:rFonts w:hint="eastAsia" w:ascii="宋体" w:hAnsi="宋体" w:eastAsia="宋体" w:cs="宋体"/>
                <w:b w:val="0"/>
                <w:bCs w:val="0"/>
                <w:color w:val="auto"/>
                <w:szCs w:val="21"/>
                <w:highlight w:val="none"/>
                <w:lang w:eastAsia="zh-CN"/>
              </w:rPr>
              <w:t>：</w:t>
            </w:r>
            <w:r>
              <w:rPr>
                <w:rFonts w:hint="eastAsia" w:ascii="宋体" w:hAnsi="宋体" w:eastAsia="宋体" w:cs="宋体"/>
                <w:b w:val="0"/>
                <w:bCs w:val="0"/>
                <w:color w:val="auto"/>
                <w:szCs w:val="21"/>
                <w:highlight w:val="none"/>
                <w:lang w:val="en-US" w:eastAsia="zh-CN"/>
              </w:rPr>
              <w:t>家佳康、牧原、温氏、大北农、新希望</w:t>
            </w:r>
            <w:r>
              <w:rPr>
                <w:rFonts w:hint="eastAsia" w:ascii="宋体" w:hAnsi="宋体" w:eastAsia="宋体" w:cs="宋体"/>
                <w:b w:val="0"/>
                <w:bCs w:val="0"/>
                <w:color w:val="auto"/>
                <w:szCs w:val="21"/>
                <w:highlight w:val="none"/>
              </w:rPr>
              <w:t>等</w:t>
            </w:r>
            <w:r>
              <w:rPr>
                <w:rFonts w:hint="eastAsia" w:ascii="宋体" w:hAnsi="宋体" w:eastAsia="宋体" w:cs="宋体"/>
                <w:b w:val="0"/>
                <w:bCs w:val="0"/>
                <w:color w:val="auto"/>
                <w:szCs w:val="21"/>
                <w:highlight w:val="none"/>
                <w:lang w:eastAsia="zh-CN"/>
              </w:rPr>
              <w:t>。</w:t>
            </w:r>
          </w:p>
          <w:p w14:paraId="6B8F3F4D">
            <w:pPr>
              <w:keepNext w:val="0"/>
              <w:keepLines w:val="0"/>
              <w:pageBreakBefore w:val="0"/>
              <w:widowControl w:val="0"/>
              <w:suppressLineNumbers w:val="0"/>
              <w:kinsoku/>
              <w:wordWrap/>
              <w:overflowPunct/>
              <w:topLinePunct w:val="0"/>
              <w:autoSpaceDE/>
              <w:autoSpaceDN/>
              <w:bidi w:val="0"/>
              <w:snapToGrid w:val="0"/>
              <w:spacing w:before="0" w:beforeAutospacing="0" w:after="0" w:afterAutospacing="0" w:line="240" w:lineRule="auto"/>
              <w:ind w:left="0" w:right="0"/>
              <w:jc w:val="both"/>
              <w:textAlignment w:val="auto"/>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 w:val="21"/>
                <w:szCs w:val="21"/>
                <w:highlight w:val="none"/>
                <w:lang w:val="en-US" w:eastAsia="zh-CN"/>
              </w:rPr>
              <w:t>4.</w:t>
            </w:r>
            <w:r>
              <w:rPr>
                <w:rFonts w:hint="eastAsia" w:ascii="宋体" w:hAnsi="宋体" w:eastAsia="宋体" w:cs="宋体"/>
                <w:b w:val="0"/>
                <w:bCs w:val="0"/>
                <w:color w:val="auto"/>
                <w:sz w:val="21"/>
                <w:szCs w:val="21"/>
                <w:highlight w:val="none"/>
              </w:rPr>
              <w:t>须承诺响应《</w:t>
            </w:r>
            <w:r>
              <w:rPr>
                <w:rFonts w:hint="eastAsia" w:ascii="宋体" w:hAnsi="宋体" w:eastAsia="宋体" w:cs="宋体"/>
                <w:b w:val="0"/>
                <w:bCs w:val="0"/>
                <w:color w:val="auto"/>
                <w:sz w:val="21"/>
                <w:szCs w:val="21"/>
                <w:highlight w:val="none"/>
                <w:lang w:val="en-US" w:eastAsia="zh-CN"/>
              </w:rPr>
              <w:t>中粮家佳康</w:t>
            </w:r>
            <w:r>
              <w:rPr>
                <w:rFonts w:hint="eastAsia" w:ascii="宋体" w:hAnsi="宋体" w:eastAsia="宋体" w:cs="宋体"/>
                <w:b w:val="0"/>
                <w:bCs w:val="0"/>
                <w:color w:val="auto"/>
                <w:sz w:val="21"/>
                <w:szCs w:val="21"/>
                <w:highlight w:val="none"/>
              </w:rPr>
              <w:t>关于生物安全防控的通知-牲猪运输物流》。</w:t>
            </w:r>
            <w:r>
              <w:rPr>
                <w:rFonts w:hint="eastAsia" w:ascii="宋体" w:hAnsi="宋体" w:eastAsia="宋体" w:cs="宋体"/>
                <w:b w:val="0"/>
                <w:bCs w:val="0"/>
                <w:color w:val="auto"/>
                <w:szCs w:val="21"/>
                <w:highlight w:val="none"/>
                <w:lang w:val="en-US" w:eastAsia="zh-CN"/>
              </w:rPr>
              <w:t>（承诺函格式详见附件9）</w:t>
            </w:r>
          </w:p>
          <w:p w14:paraId="69A53A71">
            <w:pPr>
              <w:keepNext w:val="0"/>
              <w:keepLines w:val="0"/>
              <w:pageBreakBefore w:val="0"/>
              <w:widowControl w:val="0"/>
              <w:suppressLineNumbers w:val="0"/>
              <w:kinsoku/>
              <w:wordWrap/>
              <w:overflowPunct/>
              <w:topLinePunct w:val="0"/>
              <w:autoSpaceDE/>
              <w:autoSpaceDN/>
              <w:bidi w:val="0"/>
              <w:snapToGrid w:val="0"/>
              <w:spacing w:before="0" w:beforeAutospacing="0" w:after="0" w:afterAutospacing="0" w:line="240" w:lineRule="auto"/>
              <w:ind w:left="0" w:right="0"/>
              <w:jc w:val="both"/>
              <w:textAlignment w:val="auto"/>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5.供应商须具备开具增值税普通发票的能力，发票税率不作要求；无需提供相关证明材料。</w:t>
            </w:r>
          </w:p>
        </w:tc>
      </w:tr>
      <w:tr w14:paraId="355C1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6" w:type="pct"/>
            <w:noWrap w:val="0"/>
            <w:vAlign w:val="center"/>
          </w:tcPr>
          <w:p w14:paraId="16A4D869">
            <w:pPr>
              <w:adjustRightInd w:val="0"/>
              <w:snapToGrid w:val="0"/>
              <w:jc w:val="center"/>
              <w:rPr>
                <w:rFonts w:hint="eastAsia" w:ascii="宋体" w:hAnsi="宋体" w:eastAsia="宋体" w:cs="宋体"/>
                <w:b/>
                <w:bCs w:val="0"/>
                <w:color w:val="auto"/>
                <w:szCs w:val="21"/>
                <w:highlight w:val="none"/>
                <w:lang w:val="en-US"/>
              </w:rPr>
            </w:pPr>
            <w:r>
              <w:rPr>
                <w:rFonts w:hint="eastAsia" w:ascii="宋体" w:hAnsi="宋体" w:eastAsia="宋体" w:cs="宋体"/>
                <w:b/>
                <w:bCs w:val="0"/>
                <w:color w:val="auto"/>
                <w:szCs w:val="21"/>
                <w:highlight w:val="none"/>
              </w:rPr>
              <w:t>采购包</w:t>
            </w:r>
            <w:r>
              <w:rPr>
                <w:rFonts w:hint="eastAsia" w:ascii="宋体" w:hAnsi="宋体" w:eastAsia="宋体" w:cs="宋体"/>
                <w:b/>
                <w:bCs w:val="0"/>
                <w:color w:val="auto"/>
                <w:szCs w:val="21"/>
                <w:highlight w:val="none"/>
                <w:lang w:val="en-US" w:eastAsia="zh-CN"/>
              </w:rPr>
              <w:t>29</w:t>
            </w:r>
          </w:p>
        </w:tc>
        <w:tc>
          <w:tcPr>
            <w:tcW w:w="545" w:type="pct"/>
            <w:noWrap w:val="0"/>
            <w:vAlign w:val="center"/>
          </w:tcPr>
          <w:p w14:paraId="28271B26">
            <w:pPr>
              <w:keepNext w:val="0"/>
              <w:keepLines w:val="0"/>
              <w:pageBreakBefore w:val="0"/>
              <w:widowControl w:val="0"/>
              <w:suppressLineNumbers w:val="0"/>
              <w:kinsoku/>
              <w:wordWrap/>
              <w:overflowPunct/>
              <w:topLinePunct w:val="0"/>
              <w:autoSpaceDE/>
              <w:autoSpaceDN/>
              <w:bidi w:val="0"/>
              <w:snapToGrid w:val="0"/>
              <w:spacing w:before="0" w:beforeAutospacing="0" w:after="0" w:afterAutospacing="0" w:line="240" w:lineRule="auto"/>
              <w:ind w:left="0" w:leftChars="0" w:right="0" w:righ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家佳康</w:t>
            </w:r>
            <w:r>
              <w:rPr>
                <w:rFonts w:hint="eastAsia" w:ascii="宋体" w:hAnsi="宋体" w:eastAsia="宋体" w:cs="宋体"/>
                <w:color w:val="auto"/>
                <w:szCs w:val="21"/>
                <w:highlight w:val="none"/>
                <w:lang w:val="en-US" w:eastAsia="zh-CN"/>
              </w:rPr>
              <w:t>种猪调运全封闭猪车</w:t>
            </w:r>
          </w:p>
        </w:tc>
        <w:tc>
          <w:tcPr>
            <w:tcW w:w="3668" w:type="pct"/>
            <w:noWrap w:val="0"/>
            <w:vAlign w:val="center"/>
          </w:tcPr>
          <w:p w14:paraId="44B56E0C">
            <w:pPr>
              <w:keepNext w:val="0"/>
              <w:keepLines w:val="0"/>
              <w:pageBreakBefore w:val="0"/>
              <w:widowControl w:val="0"/>
              <w:suppressLineNumbers w:val="0"/>
              <w:kinsoku/>
              <w:wordWrap/>
              <w:overflowPunct/>
              <w:topLinePunct w:val="0"/>
              <w:autoSpaceDE/>
              <w:autoSpaceDN/>
              <w:bidi w:val="0"/>
              <w:snapToGrid w:val="0"/>
              <w:spacing w:before="0" w:beforeAutospacing="0" w:after="0" w:afterAutospacing="0" w:line="240" w:lineRule="auto"/>
              <w:ind w:left="0" w:right="0"/>
              <w:jc w:val="both"/>
              <w:textAlignment w:val="auto"/>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1.</w:t>
            </w:r>
            <w:r>
              <w:rPr>
                <w:rFonts w:hint="eastAsia" w:ascii="宋体" w:hAnsi="宋体" w:eastAsia="宋体" w:cs="宋体"/>
                <w:b w:val="0"/>
                <w:bCs w:val="0"/>
                <w:color w:val="auto"/>
                <w:sz w:val="21"/>
                <w:szCs w:val="21"/>
                <w:highlight w:val="none"/>
              </w:rPr>
              <w:t>具有</w:t>
            </w:r>
            <w:r>
              <w:rPr>
                <w:rFonts w:hint="eastAsia" w:ascii="宋体" w:hAnsi="宋体" w:eastAsia="宋体" w:cs="宋体"/>
                <w:b w:val="0"/>
                <w:bCs w:val="0"/>
                <w:color w:val="auto"/>
                <w:szCs w:val="21"/>
                <w:highlight w:val="none"/>
              </w:rPr>
              <w:t>自有</w:t>
            </w:r>
            <w:r>
              <w:rPr>
                <w:rFonts w:hint="eastAsia" w:ascii="宋体" w:hAnsi="宋体" w:eastAsia="宋体" w:cs="宋体"/>
                <w:b w:val="0"/>
                <w:bCs w:val="0"/>
                <w:color w:val="auto"/>
                <w:szCs w:val="21"/>
                <w:highlight w:val="none"/>
                <w:lang w:val="en-US" w:eastAsia="zh-CN"/>
              </w:rPr>
              <w:t>全封闭</w:t>
            </w:r>
            <w:r>
              <w:rPr>
                <w:rFonts w:hint="eastAsia" w:ascii="宋体" w:hAnsi="宋体" w:eastAsia="宋体" w:cs="宋体"/>
                <w:b w:val="0"/>
                <w:bCs w:val="0"/>
                <w:color w:val="auto"/>
                <w:szCs w:val="21"/>
                <w:highlight w:val="none"/>
              </w:rPr>
              <w:t>牲猪运输车辆≥10辆，提供</w:t>
            </w:r>
            <w:r>
              <w:rPr>
                <w:rFonts w:hint="eastAsia" w:ascii="宋体" w:hAnsi="宋体" w:eastAsia="宋体" w:cs="宋体"/>
                <w:b w:val="0"/>
                <w:bCs w:val="0"/>
                <w:color w:val="auto"/>
                <w:szCs w:val="21"/>
                <w:highlight w:val="none"/>
                <w:lang w:val="en-US" w:eastAsia="zh-CN"/>
              </w:rPr>
              <w:t>车辆</w:t>
            </w:r>
            <w:r>
              <w:rPr>
                <w:rFonts w:hint="eastAsia" w:ascii="宋体" w:hAnsi="宋体" w:eastAsia="宋体" w:cs="宋体"/>
                <w:b w:val="0"/>
                <w:bCs w:val="0"/>
                <w:color w:val="auto"/>
                <w:szCs w:val="21"/>
                <w:highlight w:val="none"/>
              </w:rPr>
              <w:t>行驶证</w:t>
            </w:r>
            <w:r>
              <w:rPr>
                <w:rFonts w:hint="eastAsia" w:ascii="宋体" w:hAnsi="宋体" w:eastAsia="宋体" w:cs="宋体"/>
                <w:b w:val="0"/>
                <w:bCs w:val="0"/>
                <w:color w:val="auto"/>
                <w:szCs w:val="21"/>
                <w:highlight w:val="none"/>
                <w:lang w:val="en-US" w:eastAsia="zh-CN"/>
              </w:rPr>
              <w:t>复印件</w:t>
            </w:r>
            <w:r>
              <w:rPr>
                <w:rFonts w:hint="eastAsia" w:ascii="宋体" w:hAnsi="宋体" w:eastAsia="宋体" w:cs="宋体"/>
                <w:b w:val="0"/>
                <w:bCs w:val="0"/>
                <w:color w:val="auto"/>
                <w:szCs w:val="21"/>
                <w:highlight w:val="none"/>
                <w:lang w:eastAsia="zh-CN"/>
              </w:rPr>
              <w:t>（</w:t>
            </w:r>
            <w:r>
              <w:rPr>
                <w:rFonts w:hint="eastAsia" w:ascii="宋体" w:hAnsi="宋体" w:eastAsia="宋体" w:cs="宋体"/>
                <w:b w:val="0"/>
                <w:bCs w:val="0"/>
                <w:color w:val="auto"/>
                <w:szCs w:val="21"/>
                <w:highlight w:val="none"/>
                <w:lang w:val="en-US" w:eastAsia="zh-CN"/>
              </w:rPr>
              <w:t>提供资料同通用资格中车辆要求</w:t>
            </w:r>
            <w:r>
              <w:rPr>
                <w:rFonts w:hint="eastAsia" w:ascii="宋体" w:hAnsi="宋体" w:eastAsia="宋体" w:cs="宋体"/>
                <w:b w:val="0"/>
                <w:bCs w:val="0"/>
                <w:color w:val="auto"/>
                <w:szCs w:val="21"/>
                <w:highlight w:val="none"/>
                <w:lang w:eastAsia="zh-CN"/>
              </w:rPr>
              <w:t>）</w:t>
            </w:r>
            <w:r>
              <w:rPr>
                <w:rFonts w:hint="eastAsia" w:ascii="宋体" w:hAnsi="宋体" w:eastAsia="宋体" w:cs="宋体"/>
                <w:b w:val="0"/>
                <w:bCs w:val="0"/>
                <w:color w:val="auto"/>
                <w:szCs w:val="21"/>
                <w:highlight w:val="none"/>
              </w:rPr>
              <w:t>。</w:t>
            </w:r>
          </w:p>
          <w:p w14:paraId="118E85D2">
            <w:pPr>
              <w:keepNext w:val="0"/>
              <w:keepLines w:val="0"/>
              <w:pageBreakBefore w:val="0"/>
              <w:widowControl w:val="0"/>
              <w:suppressLineNumbers w:val="0"/>
              <w:kinsoku/>
              <w:wordWrap/>
              <w:overflowPunct/>
              <w:topLinePunct w:val="0"/>
              <w:autoSpaceDE/>
              <w:autoSpaceDN/>
              <w:bidi w:val="0"/>
              <w:snapToGrid w:val="0"/>
              <w:spacing w:before="0" w:beforeAutospacing="0" w:after="0" w:afterAutospacing="0" w:line="240" w:lineRule="auto"/>
              <w:ind w:left="0" w:right="0"/>
              <w:jc w:val="both"/>
              <w:textAlignment w:val="auto"/>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2.供应商牲猪运输车辆须提供《畜禽运输车辆管理备案表》，提供证明材料或“牧讯通”截图。</w:t>
            </w:r>
          </w:p>
          <w:p w14:paraId="2E7112FD">
            <w:pPr>
              <w:keepNext w:val="0"/>
              <w:keepLines w:val="0"/>
              <w:pageBreakBefore w:val="0"/>
              <w:widowControl w:val="0"/>
              <w:suppressLineNumbers w:val="0"/>
              <w:kinsoku/>
              <w:wordWrap/>
              <w:overflowPunct/>
              <w:topLinePunct w:val="0"/>
              <w:autoSpaceDE/>
              <w:autoSpaceDN/>
              <w:bidi w:val="0"/>
              <w:snapToGrid w:val="0"/>
              <w:spacing w:before="0" w:beforeAutospacing="0" w:after="0" w:afterAutospacing="0" w:line="240" w:lineRule="auto"/>
              <w:ind w:left="0" w:right="0"/>
              <w:jc w:val="both"/>
              <w:textAlignment w:val="auto"/>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3.自202</w:t>
            </w:r>
            <w:r>
              <w:rPr>
                <w:rFonts w:hint="eastAsia" w:ascii="宋体" w:hAnsi="宋体" w:eastAsia="宋体" w:cs="宋体"/>
                <w:b w:val="0"/>
                <w:bCs w:val="0"/>
                <w:color w:val="auto"/>
                <w:szCs w:val="21"/>
                <w:highlight w:val="none"/>
                <w:lang w:val="en-US" w:eastAsia="zh-CN"/>
              </w:rPr>
              <w:t>3</w:t>
            </w:r>
            <w:r>
              <w:rPr>
                <w:rFonts w:hint="eastAsia" w:ascii="宋体" w:hAnsi="宋体" w:eastAsia="宋体" w:cs="宋体"/>
                <w:b w:val="0"/>
                <w:bCs w:val="0"/>
                <w:color w:val="auto"/>
                <w:szCs w:val="21"/>
                <w:highlight w:val="none"/>
              </w:rPr>
              <w:t>年1月1日以来（</w:t>
            </w:r>
            <w:r>
              <w:rPr>
                <w:rFonts w:hint="eastAsia" w:ascii="宋体" w:hAnsi="宋体" w:eastAsia="宋体" w:cs="宋体"/>
                <w:b w:val="0"/>
                <w:bCs w:val="0"/>
                <w:color w:val="auto"/>
                <w:szCs w:val="21"/>
                <w:highlight w:val="none"/>
                <w:lang w:eastAsia="zh-CN"/>
              </w:rPr>
              <w:t>以合同服务时间为准</w:t>
            </w:r>
            <w:r>
              <w:rPr>
                <w:rFonts w:hint="eastAsia" w:ascii="宋体" w:hAnsi="宋体" w:eastAsia="宋体" w:cs="宋体"/>
                <w:b w:val="0"/>
                <w:bCs w:val="0"/>
                <w:color w:val="auto"/>
                <w:szCs w:val="21"/>
                <w:highlight w:val="none"/>
              </w:rPr>
              <w:t>），具有牲猪运输服务经验</w:t>
            </w:r>
            <w:r>
              <w:rPr>
                <w:rFonts w:hint="eastAsia" w:ascii="宋体" w:hAnsi="宋体" w:eastAsia="宋体" w:cs="宋体"/>
                <w:b w:val="0"/>
                <w:bCs w:val="0"/>
                <w:color w:val="auto"/>
                <w:szCs w:val="21"/>
                <w:highlight w:val="none"/>
                <w:lang w:eastAsia="zh-CN"/>
              </w:rPr>
              <w:t>，</w:t>
            </w:r>
            <w:r>
              <w:rPr>
                <w:rFonts w:hint="eastAsia" w:ascii="宋体" w:hAnsi="宋体" w:eastAsia="宋体" w:cs="宋体"/>
                <w:b w:val="0"/>
                <w:bCs w:val="0"/>
                <w:color w:val="auto"/>
                <w:szCs w:val="21"/>
                <w:highlight w:val="none"/>
              </w:rPr>
              <w:t>提供2份</w:t>
            </w:r>
            <w:r>
              <w:rPr>
                <w:rFonts w:hint="eastAsia" w:ascii="宋体" w:hAnsi="宋体" w:eastAsia="宋体" w:cs="宋体"/>
                <w:b w:val="0"/>
                <w:bCs w:val="0"/>
                <w:color w:val="auto"/>
                <w:szCs w:val="21"/>
                <w:highlight w:val="none"/>
                <w:lang w:val="en-US" w:eastAsia="zh-CN"/>
              </w:rPr>
              <w:t>及以上</w:t>
            </w:r>
            <w:r>
              <w:rPr>
                <w:rFonts w:hint="eastAsia" w:ascii="宋体" w:hAnsi="宋体" w:eastAsia="宋体" w:cs="宋体"/>
                <w:b w:val="0"/>
                <w:bCs w:val="0"/>
                <w:color w:val="auto"/>
                <w:szCs w:val="21"/>
                <w:highlight w:val="none"/>
              </w:rPr>
              <w:t>业绩合同复印件</w:t>
            </w:r>
            <w:r>
              <w:rPr>
                <w:rFonts w:hint="eastAsia" w:ascii="宋体" w:hAnsi="宋体" w:eastAsia="宋体" w:cs="宋体"/>
                <w:b w:val="0"/>
                <w:bCs w:val="0"/>
                <w:color w:val="auto"/>
                <w:szCs w:val="21"/>
                <w:highlight w:val="none"/>
                <w:lang w:val="en-US" w:eastAsia="zh-CN"/>
              </w:rPr>
              <w:t>及对应发票影印件（业绩金额及发票要求详见通用业绩备注要求）</w:t>
            </w:r>
            <w:r>
              <w:rPr>
                <w:rFonts w:hint="eastAsia" w:ascii="宋体" w:hAnsi="宋体" w:eastAsia="宋体" w:cs="宋体"/>
                <w:b w:val="0"/>
                <w:bCs w:val="0"/>
                <w:color w:val="auto"/>
                <w:szCs w:val="21"/>
                <w:highlight w:val="none"/>
              </w:rPr>
              <w:t>。</w:t>
            </w:r>
          </w:p>
          <w:p w14:paraId="30F38BF2">
            <w:pPr>
              <w:keepNext w:val="0"/>
              <w:keepLines w:val="0"/>
              <w:pageBreakBefore w:val="0"/>
              <w:widowControl w:val="0"/>
              <w:suppressLineNumbers w:val="0"/>
              <w:kinsoku/>
              <w:wordWrap/>
              <w:overflowPunct/>
              <w:topLinePunct w:val="0"/>
              <w:autoSpaceDE/>
              <w:autoSpaceDN/>
              <w:bidi w:val="0"/>
              <w:snapToGrid w:val="0"/>
              <w:spacing w:before="0" w:beforeAutospacing="0" w:after="0" w:afterAutospacing="0" w:line="240" w:lineRule="auto"/>
              <w:ind w:left="0" w:right="0"/>
              <w:jc w:val="both"/>
              <w:textAlignment w:val="auto"/>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注：</w:t>
            </w:r>
            <w:r>
              <w:rPr>
                <w:rFonts w:hint="eastAsia" w:ascii="宋体" w:hAnsi="宋体" w:eastAsia="宋体" w:cs="宋体"/>
                <w:b w:val="0"/>
                <w:bCs w:val="0"/>
                <w:color w:val="auto"/>
                <w:szCs w:val="21"/>
                <w:highlight w:val="none"/>
                <w:lang w:val="en-US" w:eastAsia="zh-CN"/>
              </w:rPr>
              <w:t>行业客户包括但不限于以下品牌</w:t>
            </w:r>
            <w:r>
              <w:rPr>
                <w:rFonts w:hint="eastAsia" w:ascii="宋体" w:hAnsi="宋体" w:eastAsia="宋体" w:cs="宋体"/>
                <w:b w:val="0"/>
                <w:bCs w:val="0"/>
                <w:color w:val="auto"/>
                <w:szCs w:val="21"/>
                <w:highlight w:val="none"/>
                <w:lang w:eastAsia="zh-CN"/>
              </w:rPr>
              <w:t>：</w:t>
            </w:r>
            <w:r>
              <w:rPr>
                <w:rFonts w:hint="eastAsia" w:ascii="宋体" w:hAnsi="宋体" w:eastAsia="宋体" w:cs="宋体"/>
                <w:b w:val="0"/>
                <w:bCs w:val="0"/>
                <w:color w:val="auto"/>
                <w:szCs w:val="21"/>
                <w:highlight w:val="none"/>
                <w:lang w:val="en-US" w:eastAsia="zh-CN"/>
              </w:rPr>
              <w:t>家佳康、牧原、温氏、大北农、新希望</w:t>
            </w:r>
            <w:r>
              <w:rPr>
                <w:rFonts w:hint="eastAsia" w:ascii="宋体" w:hAnsi="宋体" w:eastAsia="宋体" w:cs="宋体"/>
                <w:b w:val="0"/>
                <w:bCs w:val="0"/>
                <w:color w:val="auto"/>
                <w:szCs w:val="21"/>
                <w:highlight w:val="none"/>
              </w:rPr>
              <w:t>等。</w:t>
            </w:r>
          </w:p>
          <w:p w14:paraId="3EECEE25">
            <w:pPr>
              <w:keepNext w:val="0"/>
              <w:keepLines w:val="0"/>
              <w:pageBreakBefore w:val="0"/>
              <w:widowControl w:val="0"/>
              <w:suppressLineNumbers w:val="0"/>
              <w:kinsoku/>
              <w:wordWrap/>
              <w:overflowPunct/>
              <w:topLinePunct w:val="0"/>
              <w:autoSpaceDE/>
              <w:autoSpaceDN/>
              <w:bidi w:val="0"/>
              <w:snapToGrid w:val="0"/>
              <w:spacing w:before="0" w:beforeAutospacing="0" w:after="0" w:afterAutospacing="0" w:line="240" w:lineRule="auto"/>
              <w:ind w:left="0" w:right="0"/>
              <w:jc w:val="both"/>
              <w:textAlignment w:val="auto"/>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 w:val="21"/>
                <w:szCs w:val="21"/>
                <w:highlight w:val="none"/>
                <w:lang w:val="en-US" w:eastAsia="zh-CN"/>
              </w:rPr>
              <w:t>4.</w:t>
            </w:r>
            <w:r>
              <w:rPr>
                <w:rFonts w:hint="eastAsia" w:ascii="宋体" w:hAnsi="宋体" w:eastAsia="宋体" w:cs="宋体"/>
                <w:b w:val="0"/>
                <w:bCs w:val="0"/>
                <w:color w:val="auto"/>
                <w:sz w:val="21"/>
                <w:szCs w:val="21"/>
                <w:highlight w:val="none"/>
              </w:rPr>
              <w:t>须承诺响应《</w:t>
            </w:r>
            <w:r>
              <w:rPr>
                <w:rFonts w:hint="eastAsia" w:ascii="宋体" w:hAnsi="宋体" w:eastAsia="宋体" w:cs="宋体"/>
                <w:b w:val="0"/>
                <w:bCs w:val="0"/>
                <w:color w:val="auto"/>
                <w:sz w:val="21"/>
                <w:szCs w:val="21"/>
                <w:highlight w:val="none"/>
                <w:lang w:val="en-US" w:eastAsia="zh-CN"/>
              </w:rPr>
              <w:t>中粮家佳康</w:t>
            </w:r>
            <w:r>
              <w:rPr>
                <w:rFonts w:hint="eastAsia" w:ascii="宋体" w:hAnsi="宋体" w:eastAsia="宋体" w:cs="宋体"/>
                <w:b w:val="0"/>
                <w:bCs w:val="0"/>
                <w:color w:val="auto"/>
                <w:sz w:val="21"/>
                <w:szCs w:val="21"/>
                <w:highlight w:val="none"/>
              </w:rPr>
              <w:t>关于生物安全防控的通知-牲猪运输物流》。</w:t>
            </w:r>
            <w:r>
              <w:rPr>
                <w:rFonts w:hint="eastAsia" w:ascii="宋体" w:hAnsi="宋体" w:eastAsia="宋体" w:cs="宋体"/>
                <w:b w:val="0"/>
                <w:bCs w:val="0"/>
                <w:color w:val="auto"/>
                <w:szCs w:val="21"/>
                <w:highlight w:val="none"/>
                <w:lang w:val="en-US" w:eastAsia="zh-CN"/>
              </w:rPr>
              <w:t>（承诺函格式详见附件9）</w:t>
            </w:r>
          </w:p>
          <w:p w14:paraId="31D965F2">
            <w:pPr>
              <w:keepNext w:val="0"/>
              <w:keepLines w:val="0"/>
              <w:pageBreakBefore w:val="0"/>
              <w:widowControl w:val="0"/>
              <w:suppressLineNumbers w:val="0"/>
              <w:kinsoku/>
              <w:wordWrap/>
              <w:overflowPunct/>
              <w:topLinePunct w:val="0"/>
              <w:autoSpaceDE/>
              <w:autoSpaceDN/>
              <w:bidi w:val="0"/>
              <w:snapToGrid w:val="0"/>
              <w:spacing w:before="0" w:beforeAutospacing="0" w:after="0" w:afterAutospacing="0" w:line="240" w:lineRule="auto"/>
              <w:ind w:left="0" w:right="0"/>
              <w:jc w:val="both"/>
              <w:textAlignment w:val="auto"/>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5.供应商须具备开具增值税普通发票的能力，发票税率不作要求；无需提供相关证明材料。</w:t>
            </w:r>
          </w:p>
        </w:tc>
      </w:tr>
      <w:tr w14:paraId="1CB49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6" w:type="pct"/>
            <w:noWrap w:val="0"/>
            <w:vAlign w:val="center"/>
          </w:tcPr>
          <w:p w14:paraId="0106AE50">
            <w:pPr>
              <w:adjustRightInd w:val="0"/>
              <w:snapToGrid w:val="0"/>
              <w:jc w:val="center"/>
              <w:rPr>
                <w:rFonts w:hint="eastAsia" w:ascii="宋体" w:hAnsi="宋体" w:eastAsia="宋体" w:cs="宋体"/>
                <w:b/>
                <w:bCs w:val="0"/>
                <w:color w:val="auto"/>
                <w:szCs w:val="21"/>
                <w:highlight w:val="none"/>
                <w:lang w:val="en-US" w:eastAsia="zh-CN"/>
              </w:rPr>
            </w:pPr>
            <w:r>
              <w:rPr>
                <w:rFonts w:hint="eastAsia" w:ascii="宋体" w:hAnsi="宋体" w:eastAsia="宋体" w:cs="宋体"/>
                <w:b/>
                <w:bCs w:val="0"/>
                <w:color w:val="auto"/>
                <w:szCs w:val="21"/>
                <w:highlight w:val="none"/>
              </w:rPr>
              <w:t>采购包</w:t>
            </w:r>
            <w:r>
              <w:rPr>
                <w:rFonts w:hint="eastAsia" w:ascii="宋体" w:hAnsi="宋体" w:eastAsia="宋体" w:cs="宋体"/>
                <w:b/>
                <w:bCs w:val="0"/>
                <w:color w:val="auto"/>
                <w:szCs w:val="21"/>
                <w:highlight w:val="none"/>
                <w:lang w:val="en-US" w:eastAsia="zh-CN"/>
              </w:rPr>
              <w:t>30-31</w:t>
            </w:r>
          </w:p>
        </w:tc>
        <w:tc>
          <w:tcPr>
            <w:tcW w:w="545" w:type="pct"/>
            <w:noWrap w:val="0"/>
            <w:vAlign w:val="center"/>
          </w:tcPr>
          <w:p w14:paraId="6E345669">
            <w:pPr>
              <w:snapToGri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中粮我买网</w:t>
            </w:r>
          </w:p>
        </w:tc>
        <w:tc>
          <w:tcPr>
            <w:tcW w:w="3668" w:type="pct"/>
            <w:noWrap w:val="0"/>
            <w:vAlign w:val="center"/>
          </w:tcPr>
          <w:p w14:paraId="203235B9">
            <w:pPr>
              <w:snapToGrid w:val="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无</w:t>
            </w:r>
          </w:p>
        </w:tc>
      </w:tr>
      <w:tr w14:paraId="7FE28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6" w:type="pct"/>
            <w:noWrap w:val="0"/>
            <w:vAlign w:val="center"/>
          </w:tcPr>
          <w:p w14:paraId="59594007">
            <w:pPr>
              <w:adjustRightInd w:val="0"/>
              <w:snapToGrid w:val="0"/>
              <w:jc w:val="center"/>
              <w:rPr>
                <w:rFonts w:hint="eastAsia" w:ascii="宋体" w:hAnsi="宋体" w:eastAsia="宋体" w:cs="宋体"/>
                <w:b/>
                <w:bCs w:val="0"/>
                <w:color w:val="auto"/>
                <w:szCs w:val="21"/>
                <w:highlight w:val="none"/>
                <w:lang w:val="en-US"/>
              </w:rPr>
            </w:pPr>
            <w:r>
              <w:rPr>
                <w:rFonts w:hint="eastAsia" w:ascii="宋体" w:hAnsi="宋体" w:eastAsia="宋体" w:cs="宋体"/>
                <w:b/>
                <w:bCs w:val="0"/>
                <w:color w:val="auto"/>
                <w:szCs w:val="21"/>
                <w:highlight w:val="none"/>
              </w:rPr>
              <w:t>采购包</w:t>
            </w:r>
            <w:r>
              <w:rPr>
                <w:rFonts w:hint="eastAsia" w:ascii="宋体" w:hAnsi="宋体" w:eastAsia="宋体" w:cs="宋体"/>
                <w:b/>
                <w:bCs w:val="0"/>
                <w:color w:val="auto"/>
                <w:szCs w:val="21"/>
                <w:highlight w:val="none"/>
                <w:lang w:val="en-US" w:eastAsia="zh-CN"/>
              </w:rPr>
              <w:t>32-48</w:t>
            </w:r>
          </w:p>
        </w:tc>
        <w:tc>
          <w:tcPr>
            <w:tcW w:w="545" w:type="pct"/>
            <w:noWrap w:val="0"/>
            <w:vAlign w:val="center"/>
          </w:tcPr>
          <w:p w14:paraId="418F44EC">
            <w:pPr>
              <w:snapToGri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中粮贸易</w:t>
            </w:r>
          </w:p>
        </w:tc>
        <w:tc>
          <w:tcPr>
            <w:tcW w:w="3668" w:type="pct"/>
            <w:noWrap w:val="0"/>
            <w:vAlign w:val="center"/>
          </w:tcPr>
          <w:p w14:paraId="23452F4D">
            <w:pPr>
              <w:keepNext w:val="0"/>
              <w:keepLines w:val="0"/>
              <w:pageBreakBefore w:val="0"/>
              <w:widowControl w:val="0"/>
              <w:suppressLineNumbers w:val="0"/>
              <w:kinsoku/>
              <w:wordWrap/>
              <w:overflowPunct/>
              <w:topLinePunct w:val="0"/>
              <w:autoSpaceDE/>
              <w:autoSpaceDN/>
              <w:bidi w:val="0"/>
              <w:snapToGrid w:val="0"/>
              <w:spacing w:before="0" w:beforeAutospacing="0" w:after="0" w:afterAutospacing="0" w:line="240" w:lineRule="auto"/>
              <w:ind w:left="0" w:right="0"/>
              <w:jc w:val="both"/>
              <w:textAlignment w:val="auto"/>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lang w:val="en-US" w:eastAsia="zh-CN"/>
              </w:rPr>
              <w:t>1.</w:t>
            </w:r>
            <w:r>
              <w:rPr>
                <w:rFonts w:hint="eastAsia" w:ascii="宋体" w:hAnsi="宋体" w:eastAsia="宋体" w:cs="宋体"/>
                <w:b w:val="0"/>
                <w:bCs w:val="0"/>
                <w:color w:val="auto"/>
                <w:szCs w:val="21"/>
                <w:highlight w:val="none"/>
                <w:lang w:eastAsia="zh-CN"/>
              </w:rPr>
              <w:t>供应商近三年（自2023年1月1日起至本项目响应截止之日止，时间以服务时间为准）须具有</w:t>
            </w:r>
            <w:r>
              <w:rPr>
                <w:rFonts w:hint="eastAsia" w:ascii="宋体" w:hAnsi="宋体" w:eastAsia="宋体" w:cs="宋体"/>
                <w:b w:val="0"/>
                <w:bCs w:val="0"/>
                <w:color w:val="auto"/>
                <w:szCs w:val="21"/>
                <w:highlight w:val="none"/>
                <w:lang w:val="en-US" w:eastAsia="zh-CN"/>
              </w:rPr>
              <w:t>所参与采购包运输的品类货物运输类服务经验</w:t>
            </w:r>
            <w:r>
              <w:rPr>
                <w:rFonts w:hint="eastAsia" w:ascii="宋体" w:hAnsi="宋体" w:eastAsia="宋体" w:cs="宋体"/>
                <w:b w:val="0"/>
                <w:bCs w:val="0"/>
                <w:color w:val="auto"/>
                <w:szCs w:val="21"/>
                <w:highlight w:val="none"/>
              </w:rPr>
              <w:t>，</w:t>
            </w:r>
            <w:r>
              <w:rPr>
                <w:rFonts w:hint="eastAsia" w:ascii="宋体" w:hAnsi="宋体" w:eastAsia="宋体" w:cs="宋体"/>
                <w:b w:val="0"/>
                <w:bCs w:val="0"/>
                <w:color w:val="auto"/>
                <w:szCs w:val="21"/>
                <w:highlight w:val="none"/>
                <w:lang w:val="en-US" w:eastAsia="zh-CN"/>
              </w:rPr>
              <w:t>供应商须提供不少于2份及以上货物运输类业绩证明材料。证明材料须包含：业绩合同复印件及对应本合同下产生的发票复印件</w:t>
            </w:r>
            <w:r>
              <w:rPr>
                <w:rFonts w:hint="eastAsia" w:ascii="宋体" w:hAnsi="宋体" w:eastAsia="宋体" w:cs="宋体"/>
                <w:b w:val="0"/>
                <w:bCs w:val="0"/>
                <w:color w:val="auto"/>
                <w:szCs w:val="21"/>
                <w:highlight w:val="none"/>
                <w:lang w:eastAsia="zh-CN"/>
              </w:rPr>
              <w:t>；</w:t>
            </w:r>
            <w:r>
              <w:rPr>
                <w:rFonts w:hint="eastAsia" w:ascii="宋体" w:hAnsi="宋体" w:eastAsia="宋体" w:cs="宋体"/>
                <w:b w:val="0"/>
                <w:bCs w:val="0"/>
                <w:color w:val="auto"/>
                <w:szCs w:val="21"/>
                <w:highlight w:val="none"/>
                <w:lang w:val="en-US" w:eastAsia="zh-CN"/>
              </w:rPr>
              <w:t>（业绩金额及发票要求详见通用业绩备注要求）</w:t>
            </w:r>
          </w:p>
        </w:tc>
      </w:tr>
      <w:tr w14:paraId="3DB73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6" w:type="pct"/>
            <w:noWrap w:val="0"/>
            <w:vAlign w:val="center"/>
          </w:tcPr>
          <w:p w14:paraId="75DFDE7D">
            <w:pPr>
              <w:adjustRightInd w:val="0"/>
              <w:snapToGrid w:val="0"/>
              <w:jc w:val="center"/>
              <w:rPr>
                <w:rFonts w:hint="eastAsia" w:ascii="宋体" w:hAnsi="宋体" w:eastAsia="宋体" w:cs="宋体"/>
                <w:b/>
                <w:bCs w:val="0"/>
                <w:color w:val="auto"/>
                <w:szCs w:val="21"/>
                <w:highlight w:val="none"/>
                <w:lang w:val="en-US" w:eastAsia="zh-CN"/>
              </w:rPr>
            </w:pPr>
            <w:r>
              <w:rPr>
                <w:rFonts w:hint="eastAsia" w:ascii="宋体" w:hAnsi="宋体" w:eastAsia="宋体" w:cs="宋体"/>
                <w:b/>
                <w:bCs w:val="0"/>
                <w:color w:val="auto"/>
                <w:szCs w:val="21"/>
                <w:highlight w:val="none"/>
              </w:rPr>
              <w:t>采购包</w:t>
            </w:r>
            <w:r>
              <w:rPr>
                <w:rFonts w:hint="eastAsia" w:ascii="宋体" w:hAnsi="宋体" w:eastAsia="宋体" w:cs="宋体"/>
                <w:b/>
                <w:bCs w:val="0"/>
                <w:color w:val="auto"/>
                <w:szCs w:val="21"/>
                <w:highlight w:val="none"/>
                <w:lang w:val="en-US" w:eastAsia="zh-CN"/>
              </w:rPr>
              <w:t>49</w:t>
            </w:r>
          </w:p>
        </w:tc>
        <w:tc>
          <w:tcPr>
            <w:tcW w:w="545" w:type="pct"/>
            <w:noWrap w:val="0"/>
            <w:vAlign w:val="center"/>
          </w:tcPr>
          <w:p w14:paraId="629426A4">
            <w:pPr>
              <w:snapToGri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中粮油脂</w:t>
            </w:r>
          </w:p>
        </w:tc>
        <w:tc>
          <w:tcPr>
            <w:tcW w:w="3668" w:type="pct"/>
            <w:noWrap w:val="0"/>
            <w:vAlign w:val="top"/>
          </w:tcPr>
          <w:p w14:paraId="1113BDD4">
            <w:pPr>
              <w:widowControl/>
              <w:snapToGrid w:val="0"/>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1.</w:t>
            </w:r>
            <w:r>
              <w:rPr>
                <w:rFonts w:hint="eastAsia" w:ascii="宋体" w:hAnsi="宋体" w:eastAsia="宋体" w:cs="宋体"/>
                <w:b w:val="0"/>
                <w:bCs w:val="0"/>
                <w:color w:val="auto"/>
                <w:szCs w:val="21"/>
                <w:highlight w:val="none"/>
                <w:lang w:eastAsia="zh-CN"/>
              </w:rPr>
              <w:t>供应商近三年（自2023年1月1日起至本项目响应截止之日止，时间以服务时间为准）须具有</w:t>
            </w:r>
            <w:r>
              <w:rPr>
                <w:rFonts w:hint="eastAsia" w:ascii="宋体" w:hAnsi="宋体" w:eastAsia="宋体" w:cs="宋体"/>
                <w:b w:val="0"/>
                <w:bCs w:val="0"/>
                <w:color w:val="auto"/>
                <w:szCs w:val="21"/>
                <w:highlight w:val="none"/>
                <w:lang w:val="en-US" w:eastAsia="zh-CN"/>
              </w:rPr>
              <w:t>大豆品类、散粮类货物运输类服务经验</w:t>
            </w:r>
            <w:r>
              <w:rPr>
                <w:rFonts w:hint="eastAsia" w:ascii="宋体" w:hAnsi="宋体" w:eastAsia="宋体" w:cs="宋体"/>
                <w:b w:val="0"/>
                <w:bCs w:val="0"/>
                <w:color w:val="auto"/>
                <w:szCs w:val="21"/>
                <w:highlight w:val="none"/>
              </w:rPr>
              <w:t>，</w:t>
            </w:r>
            <w:r>
              <w:rPr>
                <w:rFonts w:hint="eastAsia" w:ascii="宋体" w:hAnsi="宋体" w:eastAsia="宋体" w:cs="宋体"/>
                <w:b w:val="0"/>
                <w:bCs w:val="0"/>
                <w:color w:val="auto"/>
                <w:szCs w:val="21"/>
                <w:highlight w:val="none"/>
                <w:lang w:val="en-US" w:eastAsia="zh-CN"/>
              </w:rPr>
              <w:t>供应商须提供不少于2份及以上货物运输类业绩证明材料。证明材料须包含：业绩合同复印件及对应本合同下产生的发票复印件</w:t>
            </w:r>
            <w:r>
              <w:rPr>
                <w:rFonts w:hint="eastAsia" w:ascii="宋体" w:hAnsi="宋体" w:eastAsia="宋体" w:cs="宋体"/>
                <w:b w:val="0"/>
                <w:bCs w:val="0"/>
                <w:color w:val="auto"/>
                <w:szCs w:val="21"/>
                <w:highlight w:val="none"/>
                <w:lang w:eastAsia="zh-CN"/>
              </w:rPr>
              <w:t>；</w:t>
            </w:r>
            <w:r>
              <w:rPr>
                <w:rFonts w:hint="eastAsia" w:ascii="宋体" w:hAnsi="宋体" w:eastAsia="宋体" w:cs="宋体"/>
                <w:b w:val="0"/>
                <w:bCs w:val="0"/>
                <w:color w:val="auto"/>
                <w:szCs w:val="21"/>
                <w:highlight w:val="none"/>
                <w:lang w:val="en-US" w:eastAsia="zh-CN"/>
              </w:rPr>
              <w:t>（业绩金额及发票要求详见通用业绩备注要求）</w:t>
            </w:r>
          </w:p>
          <w:p w14:paraId="74602B52">
            <w:pPr>
              <w:keepNext w:val="0"/>
              <w:keepLines w:val="0"/>
              <w:pageBreakBefore w:val="0"/>
              <w:widowControl w:val="0"/>
              <w:numPr>
                <w:ilvl w:val="0"/>
                <w:numId w:val="0"/>
              </w:numPr>
              <w:suppressLineNumbers w:val="0"/>
              <w:kinsoku/>
              <w:wordWrap/>
              <w:overflowPunct/>
              <w:topLinePunct w:val="0"/>
              <w:autoSpaceDE/>
              <w:autoSpaceDN/>
              <w:bidi w:val="0"/>
              <w:snapToGrid w:val="0"/>
              <w:spacing w:before="0" w:beforeAutospacing="0" w:after="0" w:afterAutospacing="0" w:line="240" w:lineRule="auto"/>
              <w:ind w:left="0" w:leftChars="0" w:right="0" w:rightChars="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Cs w:val="21"/>
                <w:highlight w:val="none"/>
                <w:lang w:val="en-US" w:eastAsia="zh-CN"/>
              </w:rPr>
              <w:t>2.</w:t>
            </w:r>
            <w:r>
              <w:rPr>
                <w:rFonts w:hint="eastAsia" w:ascii="宋体" w:hAnsi="宋体" w:eastAsia="宋体" w:cs="宋体"/>
                <w:b w:val="0"/>
                <w:bCs w:val="0"/>
                <w:color w:val="auto"/>
                <w:sz w:val="21"/>
                <w:szCs w:val="21"/>
                <w:highlight w:val="none"/>
              </w:rPr>
              <w:t>具有运营车辆</w:t>
            </w:r>
            <w:r>
              <w:rPr>
                <w:rFonts w:hint="eastAsia" w:ascii="宋体" w:hAnsi="宋体" w:eastAsia="宋体" w:cs="宋体"/>
                <w:b w:val="0"/>
                <w:bCs w:val="0"/>
                <w:color w:val="auto"/>
                <w:szCs w:val="21"/>
                <w:highlight w:val="none"/>
                <w:lang w:val="en-US" w:eastAsia="zh-CN"/>
              </w:rPr>
              <w:t>（包含自有与协议车辆）</w:t>
            </w:r>
            <w:r>
              <w:rPr>
                <w:rFonts w:hint="eastAsia" w:ascii="宋体" w:hAnsi="宋体" w:eastAsia="宋体" w:cs="宋体"/>
                <w:b w:val="0"/>
                <w:bCs w:val="0"/>
                <w:color w:val="auto"/>
                <w:szCs w:val="21"/>
                <w:highlight w:val="none"/>
              </w:rPr>
              <w:t>≥</w:t>
            </w:r>
            <w:r>
              <w:rPr>
                <w:rFonts w:hint="eastAsia" w:ascii="宋体" w:hAnsi="宋体" w:eastAsia="宋体" w:cs="宋体"/>
                <w:b w:val="0"/>
                <w:bCs w:val="0"/>
                <w:color w:val="auto"/>
                <w:sz w:val="21"/>
                <w:szCs w:val="21"/>
                <w:highlight w:val="none"/>
                <w:lang w:val="en-US" w:eastAsia="zh-CN"/>
              </w:rPr>
              <w:t>10</w:t>
            </w:r>
            <w:r>
              <w:rPr>
                <w:rFonts w:hint="eastAsia" w:ascii="宋体" w:hAnsi="宋体" w:eastAsia="宋体" w:cs="宋体"/>
                <w:b w:val="0"/>
                <w:bCs w:val="0"/>
                <w:color w:val="auto"/>
                <w:sz w:val="21"/>
                <w:szCs w:val="21"/>
                <w:highlight w:val="none"/>
              </w:rPr>
              <w:t>辆</w:t>
            </w:r>
            <w:r>
              <w:rPr>
                <w:rFonts w:hint="eastAsia" w:ascii="宋体" w:hAnsi="宋体" w:eastAsia="宋体" w:cs="宋体"/>
                <w:b w:val="0"/>
                <w:bCs w:val="0"/>
                <w:color w:val="auto"/>
                <w:sz w:val="21"/>
                <w:szCs w:val="21"/>
                <w:highlight w:val="none"/>
                <w:lang w:eastAsia="zh-CN"/>
              </w:rPr>
              <w:t>（全封闭箱式散粮专用车，卸货方式根据现场卸货条件操作（符合当地海关转基因散粮输送要求，须海关备案））</w:t>
            </w:r>
            <w:r>
              <w:rPr>
                <w:rFonts w:hint="eastAsia" w:ascii="宋体" w:hAnsi="宋体" w:eastAsia="宋体" w:cs="宋体"/>
                <w:b w:val="0"/>
                <w:bCs w:val="0"/>
                <w:color w:val="auto"/>
                <w:sz w:val="21"/>
                <w:szCs w:val="21"/>
                <w:highlight w:val="none"/>
                <w:lang w:val="en-US" w:eastAsia="zh-CN"/>
              </w:rPr>
              <w:t>,</w:t>
            </w:r>
            <w:r>
              <w:rPr>
                <w:rFonts w:hint="eastAsia" w:ascii="宋体" w:hAnsi="宋体" w:eastAsia="宋体" w:cs="宋体"/>
                <w:b w:val="0"/>
                <w:bCs w:val="0"/>
                <w:color w:val="auto"/>
                <w:szCs w:val="21"/>
                <w:highlight w:val="none"/>
              </w:rPr>
              <w:t>提供</w:t>
            </w:r>
            <w:r>
              <w:rPr>
                <w:rFonts w:hint="eastAsia" w:ascii="宋体" w:hAnsi="宋体" w:eastAsia="宋体" w:cs="宋体"/>
                <w:b w:val="0"/>
                <w:bCs w:val="0"/>
                <w:color w:val="auto"/>
                <w:szCs w:val="21"/>
                <w:highlight w:val="none"/>
                <w:lang w:val="en-US" w:eastAsia="zh-CN"/>
              </w:rPr>
              <w:t>车辆</w:t>
            </w:r>
            <w:r>
              <w:rPr>
                <w:rFonts w:hint="eastAsia" w:ascii="宋体" w:hAnsi="宋体" w:eastAsia="宋体" w:cs="宋体"/>
                <w:b w:val="0"/>
                <w:bCs w:val="0"/>
                <w:color w:val="auto"/>
                <w:szCs w:val="21"/>
                <w:highlight w:val="none"/>
              </w:rPr>
              <w:t>行驶证</w:t>
            </w:r>
            <w:r>
              <w:rPr>
                <w:rFonts w:hint="eastAsia" w:ascii="宋体" w:hAnsi="宋体" w:eastAsia="宋体" w:cs="宋体"/>
                <w:b w:val="0"/>
                <w:bCs w:val="0"/>
                <w:color w:val="auto"/>
                <w:szCs w:val="21"/>
                <w:highlight w:val="none"/>
                <w:lang w:val="en-US" w:eastAsia="zh-CN"/>
              </w:rPr>
              <w:t>复印件</w:t>
            </w:r>
            <w:r>
              <w:rPr>
                <w:rFonts w:hint="eastAsia" w:ascii="宋体" w:hAnsi="宋体" w:eastAsia="宋体" w:cs="宋体"/>
                <w:b w:val="0"/>
                <w:bCs w:val="0"/>
                <w:color w:val="auto"/>
                <w:sz w:val="21"/>
                <w:szCs w:val="21"/>
                <w:highlight w:val="none"/>
                <w:lang w:eastAsia="zh-CN"/>
              </w:rPr>
              <w:t>。</w:t>
            </w:r>
          </w:p>
          <w:p w14:paraId="21CD7DD5">
            <w:pPr>
              <w:keepNext w:val="0"/>
              <w:keepLines w:val="0"/>
              <w:pageBreakBefore w:val="0"/>
              <w:widowControl w:val="0"/>
              <w:numPr>
                <w:ilvl w:val="0"/>
                <w:numId w:val="0"/>
              </w:numPr>
              <w:suppressLineNumbers w:val="0"/>
              <w:kinsoku/>
              <w:wordWrap/>
              <w:overflowPunct/>
              <w:topLinePunct w:val="0"/>
              <w:autoSpaceDE/>
              <w:autoSpaceDN/>
              <w:bidi w:val="0"/>
              <w:snapToGrid w:val="0"/>
              <w:spacing w:before="0" w:beforeAutospacing="0" w:after="0" w:afterAutospacing="0" w:line="240" w:lineRule="auto"/>
              <w:ind w:left="0" w:leftChars="0" w:right="0" w:rightChars="0"/>
              <w:jc w:val="both"/>
              <w:textAlignment w:val="auto"/>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注：①中粮油脂采购包49不接受租赁及协议车辆与个人签订的情况；②中粮油脂采购包49法定代表人或其配偶名下的车辆不认定为自有车辆。</w:t>
            </w:r>
          </w:p>
        </w:tc>
      </w:tr>
      <w:tr w14:paraId="0AD4C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6" w:type="pct"/>
            <w:noWrap w:val="0"/>
            <w:vAlign w:val="center"/>
          </w:tcPr>
          <w:p w14:paraId="6698A011">
            <w:pPr>
              <w:adjustRightInd w:val="0"/>
              <w:snapToGrid w:val="0"/>
              <w:jc w:val="center"/>
              <w:rPr>
                <w:rFonts w:hint="eastAsia" w:ascii="宋体" w:hAnsi="宋体" w:eastAsia="宋体" w:cs="宋体"/>
                <w:b/>
                <w:bCs w:val="0"/>
                <w:color w:val="auto"/>
                <w:szCs w:val="21"/>
                <w:highlight w:val="none"/>
                <w:lang w:val="en-US"/>
              </w:rPr>
            </w:pPr>
            <w:r>
              <w:rPr>
                <w:rFonts w:hint="eastAsia" w:ascii="宋体" w:hAnsi="宋体" w:eastAsia="宋体" w:cs="宋体"/>
                <w:b/>
                <w:bCs w:val="0"/>
                <w:color w:val="auto"/>
                <w:szCs w:val="21"/>
                <w:highlight w:val="none"/>
              </w:rPr>
              <w:t>采购包</w:t>
            </w:r>
            <w:r>
              <w:rPr>
                <w:rFonts w:hint="eastAsia" w:ascii="宋体" w:hAnsi="宋体" w:eastAsia="宋体" w:cs="宋体"/>
                <w:b/>
                <w:bCs w:val="0"/>
                <w:color w:val="auto"/>
                <w:szCs w:val="21"/>
                <w:highlight w:val="none"/>
                <w:lang w:val="en-US" w:eastAsia="zh-CN"/>
              </w:rPr>
              <w:t>55、56、71、74</w:t>
            </w:r>
          </w:p>
        </w:tc>
        <w:tc>
          <w:tcPr>
            <w:tcW w:w="545" w:type="pct"/>
            <w:noWrap w:val="0"/>
            <w:vAlign w:val="center"/>
          </w:tcPr>
          <w:p w14:paraId="4D168D8B">
            <w:pPr>
              <w:snapToGri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中粮粮谷</w:t>
            </w:r>
          </w:p>
        </w:tc>
        <w:tc>
          <w:tcPr>
            <w:tcW w:w="3668" w:type="pct"/>
            <w:noWrap w:val="0"/>
            <w:vAlign w:val="top"/>
          </w:tcPr>
          <w:p w14:paraId="56D3B5CE">
            <w:pPr>
              <w:snapToGrid w:val="0"/>
              <w:rPr>
                <w:rFonts w:hint="eastAsia" w:ascii="宋体" w:hAnsi="宋体" w:eastAsia="宋体" w:cs="宋体"/>
                <w:b w:val="0"/>
                <w:bCs w:val="0"/>
                <w:szCs w:val="21"/>
                <w:highlight w:val="none"/>
              </w:rPr>
            </w:pPr>
            <w:r>
              <w:rPr>
                <w:rFonts w:hint="eastAsia" w:ascii="宋体" w:hAnsi="宋体" w:eastAsia="宋体" w:cs="宋体"/>
                <w:b w:val="0"/>
                <w:bCs w:val="0"/>
                <w:szCs w:val="21"/>
                <w:highlight w:val="none"/>
              </w:rPr>
              <w:t>1.散装麦芽（</w:t>
            </w:r>
            <w:r>
              <w:rPr>
                <w:rFonts w:hint="eastAsia" w:ascii="宋体" w:hAnsi="宋体" w:eastAsia="宋体" w:cs="宋体"/>
                <w:b w:val="0"/>
                <w:bCs w:val="0"/>
                <w:color w:val="auto"/>
                <w:szCs w:val="21"/>
                <w:highlight w:val="none"/>
              </w:rPr>
              <w:t>中粮粮谷</w:t>
            </w:r>
            <w:r>
              <w:rPr>
                <w:rFonts w:hint="eastAsia" w:ascii="宋体" w:hAnsi="宋体" w:eastAsia="宋体" w:cs="宋体"/>
                <w:b w:val="0"/>
                <w:bCs w:val="0"/>
                <w:color w:val="auto"/>
                <w:szCs w:val="21"/>
                <w:highlight w:val="none"/>
                <w:lang w:eastAsia="zh-CN"/>
              </w:rPr>
              <w:t>（</w:t>
            </w:r>
            <w:r>
              <w:rPr>
                <w:rFonts w:hint="eastAsia" w:ascii="宋体" w:hAnsi="宋体" w:eastAsia="宋体" w:cs="宋体"/>
                <w:b w:val="0"/>
                <w:bCs w:val="0"/>
                <w:color w:val="auto"/>
                <w:szCs w:val="21"/>
                <w:highlight w:val="none"/>
                <w:lang w:val="en-US" w:eastAsia="zh-CN"/>
              </w:rPr>
              <w:t>麦芽</w:t>
            </w:r>
            <w:r>
              <w:rPr>
                <w:rFonts w:hint="eastAsia" w:ascii="宋体" w:hAnsi="宋体" w:eastAsia="宋体" w:cs="宋体"/>
                <w:b w:val="0"/>
                <w:bCs w:val="0"/>
                <w:color w:val="auto"/>
                <w:szCs w:val="21"/>
                <w:highlight w:val="none"/>
                <w:lang w:eastAsia="zh-CN"/>
              </w:rPr>
              <w:t>）</w:t>
            </w:r>
            <w:r>
              <w:rPr>
                <w:rFonts w:hint="eastAsia" w:ascii="宋体" w:hAnsi="宋体" w:eastAsia="宋体" w:cs="宋体"/>
                <w:b w:val="0"/>
                <w:bCs w:val="0"/>
                <w:color w:val="auto"/>
                <w:szCs w:val="21"/>
                <w:highlight w:val="none"/>
                <w:lang w:val="en-US" w:eastAsia="zh-CN"/>
              </w:rPr>
              <w:t>采购包</w:t>
            </w:r>
            <w:r>
              <w:rPr>
                <w:rFonts w:hint="eastAsia" w:ascii="宋体" w:hAnsi="宋体" w:eastAsia="宋体" w:cs="宋体"/>
                <w:b w:val="0"/>
                <w:bCs w:val="0"/>
                <w:szCs w:val="21"/>
                <w:highlight w:val="none"/>
                <w:lang w:val="en-US" w:eastAsia="zh-CN"/>
              </w:rPr>
              <w:t>55</w:t>
            </w:r>
            <w:r>
              <w:rPr>
                <w:rFonts w:hint="eastAsia" w:ascii="宋体" w:hAnsi="宋体" w:eastAsia="宋体" w:cs="宋体"/>
                <w:b w:val="0"/>
                <w:bCs w:val="0"/>
                <w:szCs w:val="21"/>
                <w:highlight w:val="none"/>
              </w:rPr>
              <w:t>）：</w:t>
            </w:r>
            <w:r>
              <w:rPr>
                <w:rFonts w:hint="eastAsia" w:ascii="宋体" w:hAnsi="宋体" w:eastAsia="宋体" w:cs="宋体"/>
                <w:b w:val="0"/>
                <w:bCs w:val="0"/>
                <w:color w:val="000000"/>
                <w:szCs w:val="21"/>
                <w:highlight w:val="none"/>
              </w:rPr>
              <w:t>自有集装箱</w:t>
            </w:r>
            <w:r>
              <w:rPr>
                <w:rFonts w:hint="eastAsia" w:ascii="宋体" w:hAnsi="宋体" w:eastAsia="宋体" w:cs="宋体"/>
                <w:b w:val="0"/>
                <w:bCs w:val="0"/>
                <w:szCs w:val="21"/>
                <w:highlight w:val="none"/>
              </w:rPr>
              <w:t>自卸车辆</w:t>
            </w:r>
            <w:r>
              <w:rPr>
                <w:rFonts w:hint="eastAsia" w:ascii="宋体" w:hAnsi="宋体" w:eastAsia="宋体" w:cs="宋体"/>
                <w:b w:val="0"/>
                <w:bCs w:val="0"/>
                <w:szCs w:val="21"/>
                <w:highlight w:val="none"/>
                <w:lang w:eastAsia="zh-CN"/>
              </w:rPr>
              <w:t>（</w:t>
            </w:r>
            <w:r>
              <w:rPr>
                <w:rFonts w:hint="eastAsia" w:ascii="宋体" w:hAnsi="宋体" w:eastAsia="宋体" w:cs="宋体"/>
                <w:b w:val="0"/>
                <w:bCs w:val="0"/>
                <w:szCs w:val="21"/>
                <w:highlight w:val="none"/>
                <w:lang w:val="en-US" w:eastAsia="zh-CN"/>
              </w:rPr>
              <w:t>上开口</w:t>
            </w:r>
            <w:r>
              <w:rPr>
                <w:rFonts w:hint="eastAsia" w:ascii="宋体" w:hAnsi="宋体" w:eastAsia="宋体" w:cs="宋体"/>
                <w:b w:val="0"/>
                <w:bCs w:val="0"/>
                <w:szCs w:val="21"/>
                <w:highlight w:val="none"/>
                <w:lang w:eastAsia="zh-CN"/>
              </w:rPr>
              <w:t>）</w:t>
            </w:r>
            <w:r>
              <w:rPr>
                <w:rFonts w:hint="eastAsia" w:ascii="宋体" w:hAnsi="宋体" w:eastAsia="宋体" w:cs="宋体"/>
                <w:b w:val="0"/>
                <w:bCs w:val="0"/>
                <w:szCs w:val="21"/>
                <w:highlight w:val="none"/>
              </w:rPr>
              <w:t>/绞龙（上开口）</w:t>
            </w:r>
            <w:r>
              <w:rPr>
                <w:rFonts w:hint="eastAsia" w:ascii="宋体" w:hAnsi="宋体" w:eastAsia="宋体" w:cs="宋体"/>
                <w:b w:val="0"/>
                <w:bCs w:val="0"/>
                <w:color w:val="000000"/>
                <w:szCs w:val="21"/>
                <w:highlight w:val="none"/>
              </w:rPr>
              <w:t>≥</w:t>
            </w:r>
            <w:r>
              <w:rPr>
                <w:rFonts w:hint="eastAsia" w:ascii="宋体" w:hAnsi="宋体" w:eastAsia="宋体" w:cs="宋体"/>
                <w:b w:val="0"/>
                <w:bCs w:val="0"/>
                <w:szCs w:val="21"/>
                <w:highlight w:val="none"/>
              </w:rPr>
              <w:t>10辆，提供机动车行驶证</w:t>
            </w:r>
            <w:r>
              <w:rPr>
                <w:rFonts w:hint="eastAsia" w:ascii="宋体" w:hAnsi="宋体" w:eastAsia="宋体" w:cs="宋体"/>
                <w:b w:val="0"/>
                <w:bCs w:val="0"/>
                <w:color w:val="auto"/>
                <w:szCs w:val="21"/>
                <w:highlight w:val="none"/>
                <w:lang w:val="en-US" w:eastAsia="zh-CN"/>
              </w:rPr>
              <w:t>复印件</w:t>
            </w:r>
            <w:r>
              <w:rPr>
                <w:rFonts w:hint="eastAsia" w:ascii="宋体" w:hAnsi="宋体" w:eastAsia="宋体" w:cs="宋体"/>
                <w:b w:val="0"/>
                <w:bCs w:val="0"/>
                <w:szCs w:val="21"/>
                <w:highlight w:val="none"/>
              </w:rPr>
              <w:t>及上开口照片。</w:t>
            </w:r>
          </w:p>
          <w:p w14:paraId="39DFF37A">
            <w:pPr>
              <w:snapToGrid w:val="0"/>
              <w:rPr>
                <w:rFonts w:hint="eastAsia" w:ascii="宋体" w:hAnsi="宋体" w:eastAsia="宋体" w:cs="宋体"/>
                <w:b w:val="0"/>
                <w:bCs w:val="0"/>
                <w:szCs w:val="21"/>
                <w:highlight w:val="none"/>
              </w:rPr>
            </w:pPr>
            <w:r>
              <w:rPr>
                <w:rFonts w:hint="eastAsia" w:ascii="宋体" w:hAnsi="宋体" w:eastAsia="宋体" w:cs="宋体"/>
                <w:b w:val="0"/>
                <w:bCs w:val="0"/>
                <w:szCs w:val="21"/>
                <w:highlight w:val="none"/>
              </w:rPr>
              <w:t>2.散装大麦（</w:t>
            </w:r>
            <w:r>
              <w:rPr>
                <w:rFonts w:hint="eastAsia" w:ascii="宋体" w:hAnsi="宋体" w:eastAsia="宋体" w:cs="宋体"/>
                <w:b w:val="0"/>
                <w:bCs w:val="0"/>
                <w:color w:val="auto"/>
                <w:szCs w:val="21"/>
                <w:highlight w:val="none"/>
              </w:rPr>
              <w:t>中粮粮谷</w:t>
            </w:r>
            <w:r>
              <w:rPr>
                <w:rFonts w:hint="eastAsia" w:ascii="宋体" w:hAnsi="宋体" w:eastAsia="宋体" w:cs="宋体"/>
                <w:b w:val="0"/>
                <w:bCs w:val="0"/>
                <w:color w:val="auto"/>
                <w:szCs w:val="21"/>
                <w:highlight w:val="none"/>
                <w:lang w:eastAsia="zh-CN"/>
              </w:rPr>
              <w:t>（</w:t>
            </w:r>
            <w:r>
              <w:rPr>
                <w:rFonts w:hint="eastAsia" w:ascii="宋体" w:hAnsi="宋体" w:eastAsia="宋体" w:cs="宋体"/>
                <w:b w:val="0"/>
                <w:bCs w:val="0"/>
                <w:color w:val="auto"/>
                <w:szCs w:val="21"/>
                <w:highlight w:val="none"/>
                <w:lang w:val="en-US" w:eastAsia="zh-CN"/>
              </w:rPr>
              <w:t>麦芽</w:t>
            </w:r>
            <w:r>
              <w:rPr>
                <w:rFonts w:hint="eastAsia" w:ascii="宋体" w:hAnsi="宋体" w:eastAsia="宋体" w:cs="宋体"/>
                <w:b w:val="0"/>
                <w:bCs w:val="0"/>
                <w:color w:val="auto"/>
                <w:szCs w:val="21"/>
                <w:highlight w:val="none"/>
                <w:lang w:eastAsia="zh-CN"/>
              </w:rPr>
              <w:t>）</w:t>
            </w:r>
            <w:r>
              <w:rPr>
                <w:rFonts w:hint="eastAsia" w:ascii="宋体" w:hAnsi="宋体" w:eastAsia="宋体" w:cs="宋体"/>
                <w:b w:val="0"/>
                <w:bCs w:val="0"/>
                <w:color w:val="auto"/>
                <w:szCs w:val="21"/>
                <w:highlight w:val="none"/>
                <w:lang w:val="en-US" w:eastAsia="zh-CN"/>
              </w:rPr>
              <w:t>采购包</w:t>
            </w:r>
            <w:r>
              <w:rPr>
                <w:rFonts w:hint="eastAsia" w:ascii="宋体" w:hAnsi="宋体" w:eastAsia="宋体" w:cs="宋体"/>
                <w:b w:val="0"/>
                <w:bCs w:val="0"/>
                <w:szCs w:val="21"/>
                <w:highlight w:val="none"/>
                <w:lang w:val="en-US" w:eastAsia="zh-CN"/>
              </w:rPr>
              <w:t>56</w:t>
            </w:r>
            <w:r>
              <w:rPr>
                <w:rFonts w:hint="eastAsia" w:ascii="宋体" w:hAnsi="宋体" w:eastAsia="宋体" w:cs="宋体"/>
                <w:b w:val="0"/>
                <w:bCs w:val="0"/>
                <w:szCs w:val="21"/>
                <w:highlight w:val="none"/>
              </w:rPr>
              <w:t>）：</w:t>
            </w:r>
            <w:r>
              <w:rPr>
                <w:rFonts w:hint="eastAsia" w:ascii="宋体" w:hAnsi="宋体" w:eastAsia="宋体" w:cs="宋体"/>
                <w:b w:val="0"/>
                <w:bCs w:val="0"/>
                <w:color w:val="000000"/>
                <w:szCs w:val="21"/>
                <w:highlight w:val="none"/>
              </w:rPr>
              <w:t>自有集装箱</w:t>
            </w:r>
            <w:r>
              <w:rPr>
                <w:rFonts w:hint="eastAsia" w:ascii="宋体" w:hAnsi="宋体" w:eastAsia="宋体" w:cs="宋体"/>
                <w:b w:val="0"/>
                <w:bCs w:val="0"/>
                <w:szCs w:val="21"/>
                <w:highlight w:val="none"/>
              </w:rPr>
              <w:t>自卸车辆（上开口）</w:t>
            </w:r>
            <w:r>
              <w:rPr>
                <w:rFonts w:hint="eastAsia" w:ascii="宋体" w:hAnsi="宋体" w:eastAsia="宋体" w:cs="宋体"/>
                <w:b w:val="0"/>
                <w:bCs w:val="0"/>
                <w:color w:val="000000"/>
                <w:szCs w:val="21"/>
                <w:highlight w:val="none"/>
              </w:rPr>
              <w:t>≥</w:t>
            </w:r>
            <w:r>
              <w:rPr>
                <w:rFonts w:hint="eastAsia" w:ascii="宋体" w:hAnsi="宋体" w:eastAsia="宋体" w:cs="宋体"/>
                <w:b w:val="0"/>
                <w:bCs w:val="0"/>
                <w:szCs w:val="21"/>
                <w:highlight w:val="none"/>
              </w:rPr>
              <w:t>10辆，提供机动车行驶证</w:t>
            </w:r>
            <w:r>
              <w:rPr>
                <w:rFonts w:hint="eastAsia" w:ascii="宋体" w:hAnsi="宋体" w:eastAsia="宋体" w:cs="宋体"/>
                <w:b w:val="0"/>
                <w:bCs w:val="0"/>
                <w:color w:val="auto"/>
                <w:szCs w:val="21"/>
                <w:highlight w:val="none"/>
                <w:lang w:val="en-US" w:eastAsia="zh-CN"/>
              </w:rPr>
              <w:t>复印件</w:t>
            </w:r>
            <w:r>
              <w:rPr>
                <w:rFonts w:hint="eastAsia" w:ascii="宋体" w:hAnsi="宋体" w:eastAsia="宋体" w:cs="宋体"/>
                <w:b w:val="0"/>
                <w:bCs w:val="0"/>
                <w:szCs w:val="21"/>
                <w:highlight w:val="none"/>
              </w:rPr>
              <w:t>及上开口照片。</w:t>
            </w:r>
          </w:p>
          <w:p w14:paraId="410EF481">
            <w:pPr>
              <w:snapToGrid w:val="0"/>
              <w:rPr>
                <w:rFonts w:hint="eastAsia" w:ascii="宋体" w:hAnsi="宋体" w:eastAsia="宋体" w:cs="宋体"/>
                <w:b w:val="0"/>
                <w:bCs w:val="0"/>
                <w:szCs w:val="21"/>
                <w:highlight w:val="none"/>
              </w:rPr>
            </w:pPr>
            <w:r>
              <w:rPr>
                <w:rFonts w:hint="eastAsia" w:ascii="宋体" w:hAnsi="宋体" w:eastAsia="宋体" w:cs="宋体"/>
                <w:b w:val="0"/>
                <w:bCs w:val="0"/>
                <w:szCs w:val="21"/>
                <w:highlight w:val="none"/>
              </w:rPr>
              <w:t>3.散装大麦与麦芽采购包之间的车辆不可重复，供应商提供车辆清单列表（详见附件</w:t>
            </w:r>
            <w:r>
              <w:rPr>
                <w:rFonts w:hint="eastAsia" w:ascii="宋体" w:hAnsi="宋体" w:eastAsia="宋体" w:cs="宋体"/>
                <w:b w:val="0"/>
                <w:bCs w:val="0"/>
                <w:szCs w:val="21"/>
                <w:highlight w:val="none"/>
                <w:lang w:val="en-US" w:eastAsia="zh-CN"/>
              </w:rPr>
              <w:t>13</w:t>
            </w:r>
            <w:r>
              <w:rPr>
                <w:rFonts w:hint="eastAsia" w:ascii="宋体" w:hAnsi="宋体" w:eastAsia="宋体" w:cs="宋体"/>
                <w:b w:val="0"/>
                <w:bCs w:val="0"/>
                <w:szCs w:val="21"/>
                <w:highlight w:val="none"/>
              </w:rPr>
              <w:t>）。</w:t>
            </w:r>
          </w:p>
          <w:p w14:paraId="08E6629E">
            <w:pPr>
              <w:snapToGrid w:val="0"/>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szCs w:val="21"/>
                <w:highlight w:val="none"/>
                <w:lang w:val="en-US" w:eastAsia="zh-CN"/>
              </w:rPr>
              <w:t>4.</w:t>
            </w:r>
            <w:r>
              <w:rPr>
                <w:rFonts w:hint="eastAsia" w:ascii="宋体" w:hAnsi="宋体" w:eastAsia="宋体" w:cs="宋体"/>
                <w:b w:val="0"/>
                <w:bCs w:val="0"/>
                <w:szCs w:val="21"/>
                <w:highlight w:val="none"/>
              </w:rPr>
              <w:t>（</w:t>
            </w:r>
            <w:r>
              <w:rPr>
                <w:rFonts w:hint="eastAsia" w:ascii="宋体" w:hAnsi="宋体" w:eastAsia="宋体" w:cs="宋体"/>
                <w:b w:val="0"/>
                <w:bCs w:val="0"/>
                <w:color w:val="auto"/>
                <w:szCs w:val="21"/>
                <w:highlight w:val="none"/>
              </w:rPr>
              <w:t>中粮粮谷</w:t>
            </w:r>
            <w:r>
              <w:rPr>
                <w:rFonts w:hint="eastAsia" w:ascii="宋体" w:hAnsi="宋体" w:eastAsia="宋体" w:cs="宋体"/>
                <w:b w:val="0"/>
                <w:bCs w:val="0"/>
                <w:color w:val="auto"/>
                <w:szCs w:val="21"/>
                <w:highlight w:val="none"/>
                <w:lang w:eastAsia="zh-CN"/>
              </w:rPr>
              <w:t>（</w:t>
            </w:r>
            <w:r>
              <w:rPr>
                <w:rFonts w:hint="eastAsia" w:ascii="宋体" w:hAnsi="宋体" w:eastAsia="宋体" w:cs="宋体"/>
                <w:b w:val="0"/>
                <w:bCs w:val="0"/>
                <w:color w:val="auto"/>
                <w:szCs w:val="21"/>
                <w:highlight w:val="none"/>
                <w:lang w:val="en-US" w:eastAsia="zh-CN"/>
              </w:rPr>
              <w:t>面粉</w:t>
            </w:r>
            <w:r>
              <w:rPr>
                <w:rFonts w:hint="eastAsia" w:ascii="宋体" w:hAnsi="宋体" w:eastAsia="宋体" w:cs="宋体"/>
                <w:b w:val="0"/>
                <w:bCs w:val="0"/>
                <w:color w:val="auto"/>
                <w:szCs w:val="21"/>
                <w:highlight w:val="none"/>
                <w:lang w:eastAsia="zh-CN"/>
              </w:rPr>
              <w:t>）</w:t>
            </w:r>
            <w:r>
              <w:rPr>
                <w:rFonts w:hint="eastAsia" w:ascii="宋体" w:hAnsi="宋体" w:eastAsia="宋体" w:cs="宋体"/>
                <w:b w:val="0"/>
                <w:bCs w:val="0"/>
                <w:color w:val="auto"/>
                <w:szCs w:val="21"/>
                <w:highlight w:val="none"/>
                <w:lang w:val="en-US" w:eastAsia="zh-CN"/>
              </w:rPr>
              <w:t>采购包</w:t>
            </w:r>
            <w:r>
              <w:rPr>
                <w:rFonts w:hint="eastAsia" w:ascii="宋体" w:hAnsi="宋体" w:eastAsia="宋体" w:cs="宋体"/>
                <w:b w:val="0"/>
                <w:bCs w:val="0"/>
                <w:szCs w:val="21"/>
                <w:highlight w:val="none"/>
                <w:lang w:val="en-US" w:eastAsia="zh-CN"/>
              </w:rPr>
              <w:t>74</w:t>
            </w:r>
            <w:r>
              <w:rPr>
                <w:rFonts w:hint="eastAsia" w:ascii="宋体" w:hAnsi="宋体" w:eastAsia="宋体" w:cs="宋体"/>
                <w:b w:val="0"/>
                <w:bCs w:val="0"/>
                <w:szCs w:val="21"/>
                <w:highlight w:val="none"/>
              </w:rPr>
              <w:t>）</w:t>
            </w:r>
            <w:r>
              <w:rPr>
                <w:rFonts w:hint="eastAsia" w:ascii="宋体" w:hAnsi="宋体" w:eastAsia="宋体" w:cs="宋体"/>
                <w:b w:val="0"/>
                <w:bCs w:val="0"/>
                <w:szCs w:val="21"/>
                <w:highlight w:val="none"/>
                <w:lang w:eastAsia="zh-CN"/>
              </w:rPr>
              <w:t>：</w:t>
            </w:r>
            <w:r>
              <w:rPr>
                <w:rFonts w:hint="eastAsia" w:ascii="宋体" w:hAnsi="宋体" w:eastAsia="宋体" w:cs="宋体"/>
                <w:b w:val="0"/>
                <w:bCs w:val="0"/>
                <w:szCs w:val="21"/>
                <w:highlight w:val="none"/>
                <w:lang w:val="en-US" w:eastAsia="zh-CN"/>
              </w:rPr>
              <w:t>面粉-沈阳-原粮-进口麦-天津港（铁路集装箱+汽运短倒）采购包参与的供应商须提供响应承诺函。</w:t>
            </w:r>
            <w:r>
              <w:rPr>
                <w:rFonts w:hint="eastAsia" w:ascii="宋体" w:hAnsi="宋体" w:eastAsia="宋体" w:cs="宋体"/>
                <w:b w:val="0"/>
                <w:bCs w:val="0"/>
                <w:color w:val="auto"/>
                <w:szCs w:val="21"/>
                <w:highlight w:val="none"/>
                <w:lang w:val="en-US" w:eastAsia="zh-CN"/>
              </w:rPr>
              <w:t>（承诺函格式详见附件10）</w:t>
            </w:r>
          </w:p>
          <w:p w14:paraId="135AC950">
            <w:pPr>
              <w:snapToGrid w:val="0"/>
              <w:rPr>
                <w:rFonts w:hint="eastAsia" w:ascii="宋体" w:hAnsi="宋体" w:eastAsia="宋体" w:cs="宋体"/>
                <w:b w:val="0"/>
                <w:bCs w:val="0"/>
                <w:szCs w:val="21"/>
                <w:highlight w:val="none"/>
                <w:lang w:eastAsia="zh-CN"/>
              </w:rPr>
            </w:pPr>
            <w:r>
              <w:rPr>
                <w:rFonts w:hint="eastAsia" w:ascii="宋体" w:hAnsi="宋体" w:eastAsia="宋体" w:cs="宋体"/>
                <w:b w:val="0"/>
                <w:bCs w:val="0"/>
                <w:color w:val="auto"/>
                <w:szCs w:val="21"/>
                <w:highlight w:val="none"/>
                <w:lang w:val="en-US" w:eastAsia="zh-CN"/>
              </w:rPr>
              <w:t>5.采购包面粉-沈阳-散粉</w:t>
            </w:r>
            <w:r>
              <w:rPr>
                <w:rFonts w:hint="eastAsia" w:ascii="宋体" w:hAnsi="宋体" w:eastAsia="宋体" w:cs="宋体"/>
                <w:b w:val="0"/>
                <w:bCs w:val="0"/>
                <w:szCs w:val="21"/>
                <w:highlight w:val="none"/>
              </w:rPr>
              <w:t>（</w:t>
            </w:r>
            <w:r>
              <w:rPr>
                <w:rFonts w:hint="eastAsia" w:ascii="宋体" w:hAnsi="宋体" w:eastAsia="宋体" w:cs="宋体"/>
                <w:b w:val="0"/>
                <w:bCs w:val="0"/>
                <w:color w:val="auto"/>
                <w:szCs w:val="21"/>
                <w:highlight w:val="none"/>
              </w:rPr>
              <w:t>中粮粮谷</w:t>
            </w:r>
            <w:r>
              <w:rPr>
                <w:rFonts w:hint="eastAsia" w:ascii="宋体" w:hAnsi="宋体" w:eastAsia="宋体" w:cs="宋体"/>
                <w:b w:val="0"/>
                <w:bCs w:val="0"/>
                <w:color w:val="auto"/>
                <w:szCs w:val="21"/>
                <w:highlight w:val="none"/>
                <w:lang w:eastAsia="zh-CN"/>
              </w:rPr>
              <w:t>（</w:t>
            </w:r>
            <w:r>
              <w:rPr>
                <w:rFonts w:hint="eastAsia" w:ascii="宋体" w:hAnsi="宋体" w:eastAsia="宋体" w:cs="宋体"/>
                <w:b w:val="0"/>
                <w:bCs w:val="0"/>
                <w:color w:val="auto"/>
                <w:szCs w:val="21"/>
                <w:highlight w:val="none"/>
                <w:lang w:val="en-US" w:eastAsia="zh-CN"/>
              </w:rPr>
              <w:t>面粉</w:t>
            </w:r>
            <w:r>
              <w:rPr>
                <w:rFonts w:hint="eastAsia" w:ascii="宋体" w:hAnsi="宋体" w:eastAsia="宋体" w:cs="宋体"/>
                <w:b w:val="0"/>
                <w:bCs w:val="0"/>
                <w:color w:val="auto"/>
                <w:szCs w:val="21"/>
                <w:highlight w:val="none"/>
                <w:lang w:eastAsia="zh-CN"/>
              </w:rPr>
              <w:t>）</w:t>
            </w:r>
            <w:r>
              <w:rPr>
                <w:rFonts w:hint="eastAsia" w:ascii="宋体" w:hAnsi="宋体" w:eastAsia="宋体" w:cs="宋体"/>
                <w:b w:val="0"/>
                <w:bCs w:val="0"/>
                <w:color w:val="auto"/>
                <w:szCs w:val="21"/>
                <w:highlight w:val="none"/>
                <w:lang w:val="en-US" w:eastAsia="zh-CN"/>
              </w:rPr>
              <w:t>采购包</w:t>
            </w:r>
            <w:r>
              <w:rPr>
                <w:rFonts w:hint="eastAsia" w:ascii="宋体" w:hAnsi="宋体" w:eastAsia="宋体" w:cs="宋体"/>
                <w:b w:val="0"/>
                <w:bCs w:val="0"/>
                <w:szCs w:val="21"/>
                <w:highlight w:val="none"/>
                <w:lang w:val="en-US" w:eastAsia="zh-CN"/>
              </w:rPr>
              <w:t>71</w:t>
            </w:r>
            <w:r>
              <w:rPr>
                <w:rFonts w:hint="eastAsia" w:ascii="宋体" w:hAnsi="宋体" w:eastAsia="宋体" w:cs="宋体"/>
                <w:b w:val="0"/>
                <w:bCs w:val="0"/>
                <w:szCs w:val="21"/>
                <w:highlight w:val="none"/>
              </w:rPr>
              <w:t>）</w:t>
            </w:r>
            <w:r>
              <w:rPr>
                <w:rFonts w:hint="eastAsia" w:ascii="宋体" w:hAnsi="宋体" w:eastAsia="宋体" w:cs="宋体"/>
                <w:b w:val="0"/>
                <w:bCs w:val="0"/>
                <w:szCs w:val="21"/>
                <w:highlight w:val="none"/>
                <w:lang w:eastAsia="zh-CN"/>
              </w:rPr>
              <w:t>：</w:t>
            </w:r>
            <w:r>
              <w:rPr>
                <w:rFonts w:hint="eastAsia" w:ascii="宋体" w:hAnsi="宋体" w:eastAsia="宋体" w:cs="宋体"/>
                <w:b w:val="0"/>
                <w:bCs w:val="0"/>
                <w:szCs w:val="21"/>
                <w:highlight w:val="none"/>
                <w:lang w:val="en-US" w:eastAsia="zh-CN"/>
              </w:rPr>
              <w:t>供应商的</w:t>
            </w:r>
            <w:r>
              <w:rPr>
                <w:rFonts w:hint="eastAsia" w:ascii="宋体" w:hAnsi="宋体" w:eastAsia="宋体" w:cs="宋体"/>
                <w:b w:val="0"/>
                <w:bCs w:val="0"/>
                <w:szCs w:val="21"/>
                <w:highlight w:val="none"/>
                <w:lang w:eastAsia="zh-CN"/>
              </w:rPr>
              <w:t>自有散粉车辆</w:t>
            </w:r>
            <w:r>
              <w:rPr>
                <w:rFonts w:hint="eastAsia" w:ascii="宋体" w:hAnsi="宋体" w:eastAsia="宋体" w:cs="宋体"/>
                <w:b w:val="0"/>
                <w:bCs w:val="0"/>
                <w:szCs w:val="21"/>
                <w:highlight w:val="none"/>
                <w:lang w:val="en-US" w:eastAsia="zh-CN"/>
              </w:rPr>
              <w:t>(</w:t>
            </w:r>
            <w:r>
              <w:rPr>
                <w:rFonts w:hint="eastAsia" w:ascii="宋体" w:hAnsi="宋体" w:eastAsia="宋体" w:cs="宋体"/>
                <w:b w:val="0"/>
                <w:bCs w:val="0"/>
                <w:szCs w:val="21"/>
                <w:highlight w:val="none"/>
                <w:lang w:eastAsia="zh-CN"/>
              </w:rPr>
              <w:t>车头+</w:t>
            </w:r>
            <w:r>
              <w:rPr>
                <w:rFonts w:hint="eastAsia" w:ascii="宋体" w:hAnsi="宋体" w:eastAsia="宋体" w:cs="宋体"/>
                <w:b w:val="0"/>
                <w:bCs w:val="0"/>
                <w:szCs w:val="21"/>
                <w:highlight w:val="none"/>
                <w:lang w:val="en-US" w:eastAsia="zh-CN"/>
              </w:rPr>
              <w:t>罐体</w:t>
            </w:r>
            <w:r>
              <w:rPr>
                <w:rFonts w:hint="eastAsia" w:ascii="宋体" w:hAnsi="宋体" w:eastAsia="宋体" w:cs="宋体"/>
                <w:b w:val="0"/>
                <w:bCs w:val="0"/>
                <w:szCs w:val="21"/>
                <w:highlight w:val="none"/>
                <w:lang w:eastAsia="zh-CN"/>
              </w:rPr>
              <w:t>为一辆)≥8辆，</w:t>
            </w:r>
            <w:r>
              <w:rPr>
                <w:rFonts w:hint="eastAsia" w:ascii="宋体" w:hAnsi="宋体" w:eastAsia="宋体" w:cs="宋体"/>
                <w:b w:val="0"/>
                <w:bCs w:val="0"/>
                <w:szCs w:val="21"/>
                <w:highlight w:val="none"/>
              </w:rPr>
              <w:t>提供机动车行驶证</w:t>
            </w:r>
            <w:r>
              <w:rPr>
                <w:rFonts w:hint="eastAsia" w:ascii="宋体" w:hAnsi="宋体" w:eastAsia="宋体" w:cs="宋体"/>
                <w:b w:val="0"/>
                <w:bCs w:val="0"/>
                <w:color w:val="auto"/>
                <w:szCs w:val="21"/>
                <w:highlight w:val="none"/>
                <w:lang w:val="en-US" w:eastAsia="zh-CN"/>
              </w:rPr>
              <w:t>复印件</w:t>
            </w:r>
            <w:r>
              <w:rPr>
                <w:rFonts w:hint="eastAsia" w:ascii="宋体" w:hAnsi="宋体" w:eastAsia="宋体" w:cs="宋体"/>
                <w:b w:val="0"/>
                <w:bCs w:val="0"/>
                <w:szCs w:val="21"/>
                <w:highlight w:val="none"/>
                <w:lang w:eastAsia="zh-CN"/>
              </w:rPr>
              <w:t>。</w:t>
            </w:r>
          </w:p>
          <w:p w14:paraId="4D8D5676">
            <w:pPr>
              <w:keepNext w:val="0"/>
              <w:keepLines w:val="0"/>
              <w:pageBreakBefore w:val="0"/>
              <w:widowControl w:val="0"/>
              <w:suppressLineNumbers w:val="0"/>
              <w:kinsoku/>
              <w:wordWrap/>
              <w:overflowPunct/>
              <w:topLinePunct w:val="0"/>
              <w:autoSpaceDE/>
              <w:autoSpaceDN/>
              <w:bidi w:val="0"/>
              <w:snapToGrid w:val="0"/>
              <w:spacing w:before="0" w:beforeAutospacing="0" w:after="0" w:afterAutospacing="0" w:line="240" w:lineRule="auto"/>
              <w:ind w:left="0" w:right="0"/>
              <w:jc w:val="both"/>
              <w:textAlignment w:val="auto"/>
              <w:rPr>
                <w:rFonts w:hint="eastAsia" w:ascii="宋体" w:hAnsi="宋体" w:eastAsia="宋体" w:cs="宋体"/>
                <w:b w:val="0"/>
                <w:bCs w:val="0"/>
                <w:color w:val="auto"/>
                <w:szCs w:val="21"/>
                <w:highlight w:val="none"/>
              </w:rPr>
            </w:pPr>
            <w:r>
              <w:rPr>
                <w:rFonts w:hint="eastAsia" w:ascii="宋体" w:hAnsi="宋体" w:eastAsia="宋体" w:cs="宋体"/>
                <w:b w:val="0"/>
                <w:bCs w:val="0"/>
                <w:szCs w:val="21"/>
                <w:highlight w:val="none"/>
                <w:lang w:val="en-US" w:eastAsia="zh-CN"/>
              </w:rPr>
              <w:t>6.</w:t>
            </w:r>
            <w:r>
              <w:rPr>
                <w:rFonts w:hint="eastAsia" w:ascii="宋体" w:hAnsi="宋体" w:eastAsia="宋体" w:cs="宋体"/>
                <w:b w:val="0"/>
                <w:bCs w:val="0"/>
                <w:szCs w:val="21"/>
                <w:highlight w:val="none"/>
              </w:rPr>
              <w:t>（</w:t>
            </w:r>
            <w:r>
              <w:rPr>
                <w:rFonts w:hint="eastAsia" w:ascii="宋体" w:hAnsi="宋体" w:eastAsia="宋体" w:cs="宋体"/>
                <w:b w:val="0"/>
                <w:bCs w:val="0"/>
                <w:color w:val="auto"/>
                <w:szCs w:val="21"/>
                <w:highlight w:val="none"/>
              </w:rPr>
              <w:t>中粮粮谷</w:t>
            </w:r>
            <w:r>
              <w:rPr>
                <w:rFonts w:hint="eastAsia" w:ascii="宋体" w:hAnsi="宋体" w:eastAsia="宋体" w:cs="宋体"/>
                <w:b w:val="0"/>
                <w:bCs w:val="0"/>
                <w:color w:val="auto"/>
                <w:szCs w:val="21"/>
                <w:highlight w:val="none"/>
                <w:lang w:eastAsia="zh-CN"/>
              </w:rPr>
              <w:t>（</w:t>
            </w:r>
            <w:r>
              <w:rPr>
                <w:rFonts w:hint="eastAsia" w:ascii="宋体" w:hAnsi="宋体" w:eastAsia="宋体" w:cs="宋体"/>
                <w:b w:val="0"/>
                <w:bCs w:val="0"/>
                <w:color w:val="auto"/>
                <w:szCs w:val="21"/>
                <w:highlight w:val="none"/>
                <w:lang w:val="en-US" w:eastAsia="zh-CN"/>
              </w:rPr>
              <w:t>面粉</w:t>
            </w:r>
            <w:r>
              <w:rPr>
                <w:rFonts w:hint="eastAsia" w:ascii="宋体" w:hAnsi="宋体" w:eastAsia="宋体" w:cs="宋体"/>
                <w:b w:val="0"/>
                <w:bCs w:val="0"/>
                <w:color w:val="auto"/>
                <w:szCs w:val="21"/>
                <w:highlight w:val="none"/>
                <w:lang w:eastAsia="zh-CN"/>
              </w:rPr>
              <w:t>）</w:t>
            </w:r>
            <w:r>
              <w:rPr>
                <w:rFonts w:hint="eastAsia" w:ascii="宋体" w:hAnsi="宋体" w:eastAsia="宋体" w:cs="宋体"/>
                <w:b w:val="0"/>
                <w:bCs w:val="0"/>
                <w:color w:val="auto"/>
                <w:szCs w:val="21"/>
                <w:highlight w:val="none"/>
                <w:lang w:val="en-US" w:eastAsia="zh-CN"/>
              </w:rPr>
              <w:t>采购包</w:t>
            </w:r>
            <w:r>
              <w:rPr>
                <w:rFonts w:hint="eastAsia" w:ascii="宋体" w:hAnsi="宋体" w:eastAsia="宋体" w:cs="宋体"/>
                <w:b w:val="0"/>
                <w:bCs w:val="0"/>
                <w:szCs w:val="21"/>
                <w:highlight w:val="none"/>
                <w:lang w:val="en-US" w:eastAsia="zh-CN"/>
              </w:rPr>
              <w:t>71</w:t>
            </w:r>
            <w:r>
              <w:rPr>
                <w:rFonts w:hint="eastAsia" w:ascii="宋体" w:hAnsi="宋体" w:eastAsia="宋体" w:cs="宋体"/>
                <w:b w:val="0"/>
                <w:bCs w:val="0"/>
                <w:szCs w:val="21"/>
                <w:highlight w:val="none"/>
              </w:rPr>
              <w:t>）</w:t>
            </w:r>
            <w:r>
              <w:rPr>
                <w:rFonts w:hint="eastAsia" w:ascii="宋体" w:hAnsi="宋体" w:eastAsia="宋体" w:cs="宋体"/>
                <w:b w:val="0"/>
                <w:bCs w:val="0"/>
                <w:color w:val="auto"/>
                <w:szCs w:val="21"/>
                <w:highlight w:val="none"/>
                <w:lang w:val="en-US" w:eastAsia="zh-CN"/>
              </w:rPr>
              <w:t>面粉-沈阳-散粉采购包</w:t>
            </w:r>
            <w:r>
              <w:rPr>
                <w:rFonts w:hint="eastAsia" w:ascii="宋体" w:hAnsi="宋体" w:eastAsia="宋体" w:cs="宋体"/>
                <w:b w:val="0"/>
                <w:bCs w:val="0"/>
                <w:szCs w:val="21"/>
                <w:highlight w:val="none"/>
                <w:lang w:eastAsia="zh-CN"/>
              </w:rPr>
              <w:t>：</w:t>
            </w:r>
            <w:r>
              <w:rPr>
                <w:rFonts w:hint="eastAsia" w:ascii="宋体" w:hAnsi="宋体" w:eastAsia="宋体" w:cs="宋体"/>
                <w:b w:val="0"/>
                <w:bCs w:val="0"/>
                <w:szCs w:val="21"/>
                <w:highlight w:val="none"/>
                <w:lang w:val="en-US" w:eastAsia="zh-CN"/>
              </w:rPr>
              <w:t>供应商须具有散粉运输服务经验≥2年且单年累计合同服务业绩金额≥100万元，提供业绩证明材料。</w:t>
            </w:r>
            <w:r>
              <w:rPr>
                <w:rFonts w:hint="eastAsia" w:ascii="宋体" w:hAnsi="宋体" w:eastAsia="宋体" w:cs="宋体"/>
                <w:b w:val="0"/>
                <w:bCs w:val="0"/>
                <w:color w:val="auto"/>
                <w:szCs w:val="21"/>
                <w:highlight w:val="none"/>
                <w:lang w:val="en-US" w:eastAsia="zh-CN"/>
              </w:rPr>
              <w:t>（业绩金额发票要求详见通用业绩备注要求）</w:t>
            </w:r>
            <w:r>
              <w:rPr>
                <w:rFonts w:hint="eastAsia" w:ascii="宋体" w:hAnsi="宋体" w:eastAsia="宋体" w:cs="宋体"/>
                <w:b w:val="0"/>
                <w:bCs w:val="0"/>
                <w:color w:val="auto"/>
                <w:szCs w:val="21"/>
                <w:highlight w:val="none"/>
              </w:rPr>
              <w:t>。</w:t>
            </w:r>
          </w:p>
          <w:p w14:paraId="79A4D4F7">
            <w:pPr>
              <w:keepNext w:val="0"/>
              <w:keepLines w:val="0"/>
              <w:pageBreakBefore w:val="0"/>
              <w:widowControl w:val="0"/>
              <w:suppressLineNumbers w:val="0"/>
              <w:kinsoku/>
              <w:wordWrap/>
              <w:overflowPunct/>
              <w:topLinePunct w:val="0"/>
              <w:autoSpaceDE/>
              <w:autoSpaceDN/>
              <w:bidi w:val="0"/>
              <w:snapToGrid w:val="0"/>
              <w:spacing w:before="0" w:beforeAutospacing="0" w:after="0" w:afterAutospacing="0" w:line="240" w:lineRule="auto"/>
              <w:ind w:left="0" w:right="0"/>
              <w:jc w:val="both"/>
              <w:textAlignment w:val="auto"/>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7.</w:t>
            </w:r>
            <w:r>
              <w:rPr>
                <w:rFonts w:hint="eastAsia" w:ascii="宋体" w:hAnsi="宋体" w:eastAsia="宋体" w:cs="宋体"/>
                <w:b w:val="0"/>
                <w:bCs w:val="0"/>
                <w:szCs w:val="21"/>
                <w:highlight w:val="none"/>
              </w:rPr>
              <w:t>（</w:t>
            </w:r>
            <w:r>
              <w:rPr>
                <w:rFonts w:hint="eastAsia" w:ascii="宋体" w:hAnsi="宋体" w:eastAsia="宋体" w:cs="宋体"/>
                <w:b w:val="0"/>
                <w:bCs w:val="0"/>
                <w:color w:val="auto"/>
                <w:szCs w:val="21"/>
                <w:highlight w:val="none"/>
              </w:rPr>
              <w:t>中粮粮谷</w:t>
            </w:r>
            <w:r>
              <w:rPr>
                <w:rFonts w:hint="eastAsia" w:ascii="宋体" w:hAnsi="宋体" w:eastAsia="宋体" w:cs="宋体"/>
                <w:b w:val="0"/>
                <w:bCs w:val="0"/>
                <w:color w:val="auto"/>
                <w:szCs w:val="21"/>
                <w:highlight w:val="none"/>
                <w:lang w:eastAsia="zh-CN"/>
              </w:rPr>
              <w:t>（</w:t>
            </w:r>
            <w:r>
              <w:rPr>
                <w:rFonts w:hint="eastAsia" w:ascii="宋体" w:hAnsi="宋体" w:eastAsia="宋体" w:cs="宋体"/>
                <w:b w:val="0"/>
                <w:bCs w:val="0"/>
                <w:color w:val="auto"/>
                <w:szCs w:val="21"/>
                <w:highlight w:val="none"/>
                <w:lang w:val="en-US" w:eastAsia="zh-CN"/>
              </w:rPr>
              <w:t>面粉</w:t>
            </w:r>
            <w:r>
              <w:rPr>
                <w:rFonts w:hint="eastAsia" w:ascii="宋体" w:hAnsi="宋体" w:eastAsia="宋体" w:cs="宋体"/>
                <w:b w:val="0"/>
                <w:bCs w:val="0"/>
                <w:color w:val="auto"/>
                <w:szCs w:val="21"/>
                <w:highlight w:val="none"/>
                <w:lang w:eastAsia="zh-CN"/>
              </w:rPr>
              <w:t>）</w:t>
            </w:r>
            <w:r>
              <w:rPr>
                <w:rFonts w:hint="eastAsia" w:ascii="宋体" w:hAnsi="宋体" w:eastAsia="宋体" w:cs="宋体"/>
                <w:b w:val="0"/>
                <w:bCs w:val="0"/>
                <w:color w:val="auto"/>
                <w:szCs w:val="21"/>
                <w:highlight w:val="none"/>
                <w:lang w:val="en-US" w:eastAsia="zh-CN"/>
              </w:rPr>
              <w:t>采购包</w:t>
            </w:r>
            <w:r>
              <w:rPr>
                <w:rFonts w:hint="eastAsia" w:ascii="宋体" w:hAnsi="宋体" w:eastAsia="宋体" w:cs="宋体"/>
                <w:b w:val="0"/>
                <w:bCs w:val="0"/>
                <w:szCs w:val="21"/>
                <w:highlight w:val="none"/>
                <w:lang w:val="en-US" w:eastAsia="zh-CN"/>
              </w:rPr>
              <w:t>71</w:t>
            </w:r>
            <w:r>
              <w:rPr>
                <w:rFonts w:hint="eastAsia" w:ascii="宋体" w:hAnsi="宋体" w:eastAsia="宋体" w:cs="宋体"/>
                <w:b w:val="0"/>
                <w:bCs w:val="0"/>
                <w:szCs w:val="21"/>
                <w:highlight w:val="none"/>
              </w:rPr>
              <w:t>）</w:t>
            </w:r>
            <w:r>
              <w:rPr>
                <w:rFonts w:hint="eastAsia" w:ascii="宋体" w:hAnsi="宋体" w:eastAsia="宋体" w:cs="宋体"/>
                <w:b w:val="0"/>
                <w:bCs w:val="0"/>
                <w:color w:val="auto"/>
                <w:szCs w:val="21"/>
                <w:highlight w:val="none"/>
                <w:lang w:val="en-US" w:eastAsia="zh-CN"/>
              </w:rPr>
              <w:t>面粉-沈阳-散粉采购包</w:t>
            </w:r>
            <w:r>
              <w:rPr>
                <w:rFonts w:hint="eastAsia" w:ascii="宋体" w:hAnsi="宋体" w:eastAsia="宋体" w:cs="宋体"/>
                <w:b w:val="0"/>
                <w:bCs w:val="0"/>
                <w:szCs w:val="21"/>
                <w:highlight w:val="none"/>
                <w:lang w:eastAsia="zh-CN"/>
              </w:rPr>
              <w:t>：</w:t>
            </w:r>
            <w:r>
              <w:rPr>
                <w:rFonts w:hint="eastAsia" w:ascii="宋体" w:hAnsi="宋体" w:eastAsia="宋体" w:cs="宋体"/>
                <w:b w:val="0"/>
                <w:bCs w:val="0"/>
                <w:color w:val="auto"/>
                <w:szCs w:val="21"/>
                <w:highlight w:val="none"/>
                <w:lang w:val="en-US" w:eastAsia="zh-CN"/>
              </w:rPr>
              <w:t>供应商需承诺提供散粉运输的车辆必须为装载食品及食品原料的专用容器，不得使用非食品、非食品原料容器的运输工具，不得与非食品、非食品原料容器的其他运输工具混用、混装。需满足装车前入厂核查机制，罐体、罐内、罐盖、出粉口、打粉软管、空压机滤芯、车辆空吹均符合公司要求即可装车；定期安排散粉罐车清罐并提供清罐证明；提供前三载证明。同时须确保运输车辆GPS单独做专项业务管理（并可支持查询三个月以内的行驶轨迹），承运方有管理和保密义务，若无合同签订的甲方授权，严禁向第三方泄露相关记录信息。（承诺函格式详见附件11）</w:t>
            </w:r>
          </w:p>
        </w:tc>
      </w:tr>
      <w:tr w14:paraId="45E00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6" w:type="pct"/>
            <w:noWrap w:val="0"/>
            <w:vAlign w:val="center"/>
          </w:tcPr>
          <w:p w14:paraId="7F956B35">
            <w:pPr>
              <w:adjustRightInd w:val="0"/>
              <w:snapToGrid w:val="0"/>
              <w:jc w:val="center"/>
              <w:rPr>
                <w:rFonts w:hint="eastAsia" w:ascii="宋体" w:hAnsi="宋体" w:eastAsia="宋体" w:cs="宋体"/>
                <w:b/>
                <w:bCs w:val="0"/>
                <w:szCs w:val="21"/>
                <w:highlight w:val="none"/>
                <w:lang w:val="en-US"/>
              </w:rPr>
            </w:pPr>
            <w:r>
              <w:rPr>
                <w:rFonts w:hint="eastAsia" w:ascii="宋体" w:hAnsi="宋体" w:eastAsia="宋体" w:cs="宋体"/>
                <w:b/>
                <w:bCs w:val="0"/>
                <w:szCs w:val="21"/>
                <w:highlight w:val="none"/>
              </w:rPr>
              <w:t>采购包</w:t>
            </w:r>
            <w:r>
              <w:rPr>
                <w:rFonts w:hint="eastAsia" w:ascii="宋体" w:hAnsi="宋体" w:eastAsia="宋体" w:cs="宋体"/>
                <w:b/>
                <w:bCs w:val="0"/>
                <w:szCs w:val="21"/>
                <w:highlight w:val="none"/>
                <w:lang w:val="en-US" w:eastAsia="zh-CN"/>
              </w:rPr>
              <w:t>81</w:t>
            </w:r>
          </w:p>
        </w:tc>
        <w:tc>
          <w:tcPr>
            <w:tcW w:w="545" w:type="pct"/>
            <w:noWrap w:val="0"/>
            <w:vAlign w:val="center"/>
          </w:tcPr>
          <w:p w14:paraId="7A941DF4">
            <w:pPr>
              <w:snapToGrid w:val="0"/>
              <w:jc w:val="center"/>
              <w:rPr>
                <w:rFonts w:hint="eastAsia" w:ascii="宋体" w:hAnsi="宋体" w:eastAsia="宋体" w:cs="宋体"/>
                <w:szCs w:val="21"/>
                <w:highlight w:val="none"/>
              </w:rPr>
            </w:pPr>
            <w:r>
              <w:rPr>
                <w:rFonts w:hint="eastAsia" w:ascii="宋体" w:hAnsi="宋体" w:eastAsia="宋体" w:cs="宋体"/>
                <w:szCs w:val="21"/>
                <w:highlight w:val="none"/>
              </w:rPr>
              <w:t>中粮糖业</w:t>
            </w:r>
          </w:p>
        </w:tc>
        <w:tc>
          <w:tcPr>
            <w:tcW w:w="3668" w:type="pct"/>
            <w:noWrap w:val="0"/>
            <w:vAlign w:val="center"/>
          </w:tcPr>
          <w:p w14:paraId="7D36B093">
            <w:pPr>
              <w:snapToGrid w:val="0"/>
              <w:rPr>
                <w:rFonts w:hint="eastAsia" w:ascii="宋体" w:hAnsi="宋体" w:eastAsia="宋体" w:cs="宋体"/>
                <w:b w:val="0"/>
                <w:bCs w:val="0"/>
                <w:szCs w:val="21"/>
                <w:highlight w:val="none"/>
                <w:lang w:eastAsia="zh-CN"/>
              </w:rPr>
            </w:pPr>
            <w:r>
              <w:rPr>
                <w:rFonts w:hint="eastAsia" w:ascii="宋体" w:hAnsi="宋体" w:eastAsia="宋体" w:cs="宋体"/>
                <w:b w:val="0"/>
                <w:bCs w:val="0"/>
                <w:szCs w:val="21"/>
                <w:highlight w:val="none"/>
                <w:lang w:val="en-US" w:eastAsia="zh-CN"/>
              </w:rPr>
              <w:t>中粮糖业采购包81：</w:t>
            </w:r>
            <w:r>
              <w:rPr>
                <w:rFonts w:hint="eastAsia" w:ascii="宋体" w:hAnsi="宋体" w:eastAsia="宋体" w:cs="宋体"/>
                <w:b w:val="0"/>
                <w:bCs w:val="0"/>
                <w:szCs w:val="21"/>
                <w:highlight w:val="none"/>
              </w:rPr>
              <w:t>道路运输许可证的</w:t>
            </w:r>
            <w:r>
              <w:rPr>
                <w:rFonts w:hint="eastAsia" w:ascii="宋体" w:hAnsi="宋体" w:eastAsia="宋体" w:cs="宋体"/>
                <w:b w:val="0"/>
                <w:bCs w:val="0"/>
                <w:szCs w:val="21"/>
                <w:highlight w:val="none"/>
                <w:lang w:eastAsia="zh-CN"/>
              </w:rPr>
              <w:t>（</w:t>
            </w:r>
            <w:r>
              <w:rPr>
                <w:rFonts w:hint="eastAsia" w:ascii="宋体" w:hAnsi="宋体" w:eastAsia="宋体" w:cs="宋体"/>
                <w:b w:val="0"/>
                <w:bCs w:val="0"/>
                <w:szCs w:val="21"/>
                <w:highlight w:val="none"/>
              </w:rPr>
              <w:t>经营范围</w:t>
            </w:r>
            <w:r>
              <w:rPr>
                <w:rFonts w:hint="eastAsia" w:ascii="宋体" w:hAnsi="宋体" w:eastAsia="宋体" w:cs="宋体"/>
                <w:b w:val="0"/>
                <w:bCs w:val="0"/>
                <w:szCs w:val="21"/>
                <w:highlight w:val="none"/>
                <w:lang w:eastAsia="zh-CN"/>
              </w:rPr>
              <w:t>）</w:t>
            </w:r>
            <w:r>
              <w:rPr>
                <w:rFonts w:hint="eastAsia" w:ascii="宋体" w:hAnsi="宋体" w:eastAsia="宋体" w:cs="宋体"/>
                <w:b w:val="0"/>
                <w:bCs w:val="0"/>
                <w:szCs w:val="21"/>
                <w:highlight w:val="none"/>
              </w:rPr>
              <w:t>中须载明“货物专用运输(集装箱)”</w:t>
            </w:r>
            <w:r>
              <w:rPr>
                <w:rFonts w:hint="eastAsia" w:ascii="宋体" w:hAnsi="宋体" w:eastAsia="宋体" w:cs="宋体"/>
                <w:b w:val="0"/>
                <w:bCs w:val="0"/>
                <w:szCs w:val="21"/>
                <w:highlight w:val="none"/>
                <w:lang w:eastAsia="zh-CN"/>
              </w:rPr>
              <w:t>。</w:t>
            </w:r>
          </w:p>
        </w:tc>
      </w:tr>
      <w:tr w14:paraId="74F63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6" w:type="pct"/>
            <w:noWrap w:val="0"/>
            <w:vAlign w:val="center"/>
          </w:tcPr>
          <w:p w14:paraId="1CCFB959">
            <w:pPr>
              <w:adjustRightInd w:val="0"/>
              <w:snapToGrid w:val="0"/>
              <w:jc w:val="center"/>
              <w:rPr>
                <w:rFonts w:hint="eastAsia" w:ascii="宋体" w:hAnsi="宋体" w:eastAsia="宋体" w:cs="宋体"/>
                <w:b/>
                <w:bCs w:val="0"/>
                <w:color w:val="auto"/>
                <w:szCs w:val="21"/>
                <w:highlight w:val="none"/>
                <w:lang w:val="en-US" w:eastAsia="zh-CN"/>
              </w:rPr>
            </w:pPr>
            <w:r>
              <w:rPr>
                <w:rFonts w:hint="eastAsia" w:ascii="宋体" w:hAnsi="宋体" w:eastAsia="宋体" w:cs="宋体"/>
                <w:b/>
                <w:bCs w:val="0"/>
                <w:color w:val="auto"/>
                <w:szCs w:val="21"/>
                <w:highlight w:val="none"/>
              </w:rPr>
              <w:t>采购包</w:t>
            </w:r>
            <w:r>
              <w:rPr>
                <w:rFonts w:hint="eastAsia" w:ascii="宋体" w:hAnsi="宋体" w:eastAsia="宋体" w:cs="宋体"/>
                <w:b/>
                <w:bCs w:val="0"/>
                <w:color w:val="auto"/>
                <w:szCs w:val="21"/>
                <w:highlight w:val="none"/>
                <w:lang w:val="en-US" w:eastAsia="zh-CN"/>
              </w:rPr>
              <w:t>83-86</w:t>
            </w:r>
          </w:p>
        </w:tc>
        <w:tc>
          <w:tcPr>
            <w:tcW w:w="545" w:type="pct"/>
            <w:noWrap w:val="0"/>
            <w:vAlign w:val="center"/>
          </w:tcPr>
          <w:p w14:paraId="3FC29F50">
            <w:pPr>
              <w:snapToGri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生物科技</w:t>
            </w:r>
          </w:p>
        </w:tc>
        <w:tc>
          <w:tcPr>
            <w:tcW w:w="3668" w:type="pct"/>
            <w:noWrap w:val="0"/>
            <w:vAlign w:val="top"/>
          </w:tcPr>
          <w:p w14:paraId="644A49D2">
            <w:pPr>
              <w:snapToGrid w:val="0"/>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1.供应商须在中华人民共和国合法注册且股东实缴资金不能为“0”（以企查查或天眼查或启信宝查询截图为准，供应商需在营业执照后附查询截图）</w:t>
            </w:r>
          </w:p>
          <w:p w14:paraId="4FA7EE62">
            <w:pPr>
              <w:snapToGrid w:val="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lang w:val="en-US" w:eastAsia="zh-CN"/>
              </w:rPr>
              <w:t>2.供应商须签署中粮生物科技供应商廉洁承诺书、</w:t>
            </w:r>
            <w:r>
              <w:rPr>
                <w:rFonts w:hint="eastAsia" w:ascii="宋体" w:hAnsi="宋体" w:eastAsia="宋体" w:cs="宋体"/>
                <w:b w:val="0"/>
                <w:bCs w:val="0"/>
                <w:szCs w:val="32"/>
                <w:highlight w:val="none"/>
                <w:lang w:val="en-US" w:eastAsia="zh-CN"/>
              </w:rPr>
              <w:t>安全运输管理协议、物流服务供应商禁止行为其他管理要求</w:t>
            </w:r>
            <w:r>
              <w:rPr>
                <w:rFonts w:hint="eastAsia" w:ascii="宋体" w:hAnsi="宋体" w:eastAsia="宋体" w:cs="宋体"/>
                <w:b w:val="0"/>
                <w:bCs w:val="0"/>
                <w:color w:val="auto"/>
                <w:szCs w:val="21"/>
                <w:highlight w:val="none"/>
                <w:lang w:val="en-US" w:eastAsia="zh-CN"/>
              </w:rPr>
              <w:t>，证明材料要求：须提供书面承诺并加盖公章。（承诺函格式详见附件12）</w:t>
            </w:r>
          </w:p>
        </w:tc>
      </w:tr>
      <w:bookmarkEnd w:id="50"/>
    </w:tbl>
    <w:p w14:paraId="69054465">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 本次采购不接受联合体。</w:t>
      </w:r>
    </w:p>
    <w:p w14:paraId="1E6592C5">
      <w:pPr>
        <w:wordWrap w:val="0"/>
        <w:adjustRightInd w:val="0"/>
        <w:snapToGrid w:val="0"/>
        <w:spacing w:line="360" w:lineRule="auto"/>
        <w:ind w:firstLine="480" w:firstLineChars="200"/>
        <w:rPr>
          <w:rFonts w:hint="eastAsia" w:ascii="宋体" w:hAnsi="宋体" w:eastAsia="宋体" w:cs="宋体"/>
          <w:color w:val="auto"/>
          <w:sz w:val="24"/>
          <w:szCs w:val="24"/>
          <w:highlight w:val="none"/>
        </w:rPr>
      </w:pPr>
      <w:bookmarkStart w:id="8" w:name="_Toc20774"/>
      <w:bookmarkStart w:id="9" w:name="_Toc501460635"/>
      <w:r>
        <w:rPr>
          <w:rFonts w:hint="eastAsia" w:ascii="宋体" w:hAnsi="宋体" w:eastAsia="宋体" w:cs="宋体"/>
          <w:color w:val="auto"/>
          <w:sz w:val="24"/>
          <w:szCs w:val="24"/>
          <w:highlight w:val="none"/>
        </w:rPr>
        <w:t>供应商按照以上要求提供审查资料，</w:t>
      </w:r>
      <w:r>
        <w:rPr>
          <w:rFonts w:hint="eastAsia" w:ascii="宋体" w:hAnsi="宋体" w:eastAsia="宋体" w:cs="宋体"/>
          <w:b/>
          <w:bCs/>
          <w:color w:val="auto"/>
          <w:sz w:val="24"/>
          <w:szCs w:val="24"/>
          <w:highlight w:val="none"/>
        </w:rPr>
        <w:t>资料必须加盖公章并按顺序整理成一个</w:t>
      </w:r>
      <w:r>
        <w:rPr>
          <w:rFonts w:hint="eastAsia" w:ascii="宋体" w:hAnsi="宋体" w:eastAsia="宋体" w:cs="宋体"/>
          <w:b/>
          <w:bCs/>
          <w:color w:val="auto"/>
          <w:sz w:val="24"/>
          <w:szCs w:val="24"/>
          <w:highlight w:val="none"/>
          <w:lang w:eastAsia="zh-CN"/>
        </w:rPr>
        <w:t>PDF</w:t>
      </w:r>
      <w:r>
        <w:rPr>
          <w:rFonts w:hint="eastAsia" w:ascii="宋体" w:hAnsi="宋体" w:eastAsia="宋体" w:cs="宋体"/>
          <w:b/>
          <w:bCs/>
          <w:color w:val="auto"/>
          <w:sz w:val="24"/>
          <w:szCs w:val="24"/>
          <w:highlight w:val="none"/>
        </w:rPr>
        <w:t>文件，并附上购买谈判文件的支付截图</w:t>
      </w:r>
      <w:r>
        <w:rPr>
          <w:rFonts w:hint="eastAsia" w:ascii="宋体" w:hAnsi="宋体" w:eastAsia="宋体" w:cs="宋体"/>
          <w:color w:val="auto"/>
          <w:sz w:val="24"/>
          <w:szCs w:val="24"/>
          <w:highlight w:val="none"/>
        </w:rPr>
        <w:t>（详见公告第4.3条），于公告截止时间前上传至中粮E采供应链采购平台（网址：https://ecai.cofco.com/web-portal/index.html#/home），审查合格后方可获取谈判文件（本次审查仅作为发放谈判文件依据，凡领取谈判文件的供应商，其具体资格要求符合情况以评审委员会判定为准）。</w:t>
      </w:r>
      <w:r>
        <w:rPr>
          <w:rFonts w:hint="eastAsia" w:ascii="宋体" w:hAnsi="宋体" w:eastAsia="宋体" w:cs="宋体"/>
          <w:b/>
          <w:bCs/>
          <w:color w:val="auto"/>
          <w:sz w:val="24"/>
          <w:szCs w:val="24"/>
          <w:highlight w:val="none"/>
        </w:rPr>
        <w:t>参加多个</w:t>
      </w:r>
      <w:r>
        <w:rPr>
          <w:rFonts w:hint="eastAsia" w:ascii="宋体" w:hAnsi="宋体" w:eastAsia="宋体" w:cs="宋体"/>
          <w:b/>
          <w:bCs/>
          <w:color w:val="auto"/>
          <w:sz w:val="24"/>
          <w:szCs w:val="24"/>
          <w:highlight w:val="none"/>
          <w:lang w:eastAsia="zh-CN"/>
        </w:rPr>
        <w:t>采购包</w:t>
      </w:r>
      <w:r>
        <w:rPr>
          <w:rFonts w:hint="eastAsia" w:ascii="宋体" w:hAnsi="宋体" w:eastAsia="宋体" w:cs="宋体"/>
          <w:b/>
          <w:bCs/>
          <w:color w:val="auto"/>
          <w:sz w:val="24"/>
          <w:szCs w:val="24"/>
          <w:highlight w:val="none"/>
        </w:rPr>
        <w:t>的供应商，若各</w:t>
      </w:r>
      <w:r>
        <w:rPr>
          <w:rFonts w:hint="eastAsia" w:ascii="宋体" w:hAnsi="宋体" w:eastAsia="宋体" w:cs="宋体"/>
          <w:b/>
          <w:bCs/>
          <w:color w:val="auto"/>
          <w:sz w:val="24"/>
          <w:szCs w:val="24"/>
          <w:highlight w:val="none"/>
          <w:lang w:eastAsia="zh-CN"/>
        </w:rPr>
        <w:t>采购包</w:t>
      </w:r>
      <w:r>
        <w:rPr>
          <w:rFonts w:hint="eastAsia" w:ascii="宋体" w:hAnsi="宋体" w:eastAsia="宋体" w:cs="宋体"/>
          <w:b/>
          <w:bCs/>
          <w:color w:val="auto"/>
          <w:sz w:val="24"/>
          <w:szCs w:val="24"/>
          <w:highlight w:val="none"/>
        </w:rPr>
        <w:t>资格要求相同，可先提交其中1个</w:t>
      </w:r>
      <w:r>
        <w:rPr>
          <w:rFonts w:hint="eastAsia" w:ascii="宋体" w:hAnsi="宋体" w:eastAsia="宋体" w:cs="宋体"/>
          <w:b/>
          <w:bCs/>
          <w:color w:val="auto"/>
          <w:sz w:val="24"/>
          <w:szCs w:val="24"/>
          <w:highlight w:val="none"/>
          <w:lang w:eastAsia="zh-CN"/>
        </w:rPr>
        <w:t>采购包</w:t>
      </w:r>
      <w:r>
        <w:rPr>
          <w:rFonts w:hint="eastAsia" w:ascii="宋体" w:hAnsi="宋体" w:eastAsia="宋体" w:cs="宋体"/>
          <w:b/>
          <w:bCs/>
          <w:color w:val="auto"/>
          <w:sz w:val="24"/>
          <w:szCs w:val="24"/>
          <w:highlight w:val="none"/>
        </w:rPr>
        <w:t>的资格文件进行审查，审查合格后再提交其他</w:t>
      </w:r>
      <w:r>
        <w:rPr>
          <w:rFonts w:hint="eastAsia" w:ascii="宋体" w:hAnsi="宋体" w:eastAsia="宋体" w:cs="宋体"/>
          <w:b/>
          <w:bCs/>
          <w:color w:val="auto"/>
          <w:sz w:val="24"/>
          <w:szCs w:val="24"/>
          <w:highlight w:val="none"/>
          <w:lang w:eastAsia="zh-CN"/>
        </w:rPr>
        <w:t>采购包</w:t>
      </w:r>
      <w:r>
        <w:rPr>
          <w:rFonts w:hint="eastAsia" w:ascii="宋体" w:hAnsi="宋体" w:eastAsia="宋体" w:cs="宋体"/>
          <w:b/>
          <w:bCs/>
          <w:color w:val="auto"/>
          <w:sz w:val="24"/>
          <w:szCs w:val="24"/>
          <w:highlight w:val="none"/>
        </w:rPr>
        <w:t>，避免重复退回修改；若各</w:t>
      </w:r>
      <w:r>
        <w:rPr>
          <w:rFonts w:hint="eastAsia" w:ascii="宋体" w:hAnsi="宋体" w:eastAsia="宋体" w:cs="宋体"/>
          <w:b/>
          <w:bCs/>
          <w:color w:val="auto"/>
          <w:sz w:val="24"/>
          <w:szCs w:val="24"/>
          <w:highlight w:val="none"/>
          <w:lang w:eastAsia="zh-CN"/>
        </w:rPr>
        <w:t>采购包</w:t>
      </w:r>
      <w:r>
        <w:rPr>
          <w:rFonts w:hint="eastAsia" w:ascii="宋体" w:hAnsi="宋体" w:eastAsia="宋体" w:cs="宋体"/>
          <w:b/>
          <w:bCs/>
          <w:color w:val="auto"/>
          <w:sz w:val="24"/>
          <w:szCs w:val="24"/>
          <w:highlight w:val="none"/>
        </w:rPr>
        <w:t>资格要求不同，则须按各</w:t>
      </w:r>
      <w:r>
        <w:rPr>
          <w:rFonts w:hint="eastAsia" w:ascii="宋体" w:hAnsi="宋体" w:eastAsia="宋体" w:cs="宋体"/>
          <w:b/>
          <w:bCs/>
          <w:color w:val="auto"/>
          <w:sz w:val="24"/>
          <w:szCs w:val="24"/>
          <w:highlight w:val="none"/>
          <w:lang w:eastAsia="zh-CN"/>
        </w:rPr>
        <w:t>采购包</w:t>
      </w:r>
      <w:r>
        <w:rPr>
          <w:rFonts w:hint="eastAsia" w:ascii="宋体" w:hAnsi="宋体" w:eastAsia="宋体" w:cs="宋体"/>
          <w:b/>
          <w:bCs/>
          <w:color w:val="auto"/>
          <w:sz w:val="24"/>
          <w:szCs w:val="24"/>
          <w:highlight w:val="none"/>
        </w:rPr>
        <w:t>要求分别提供资格文件。</w:t>
      </w:r>
    </w:p>
    <w:p w14:paraId="36A2D129">
      <w:pPr>
        <w:spacing w:line="400" w:lineRule="exact"/>
        <w:ind w:firstLine="480" w:firstLineChars="200"/>
        <w:jc w:val="left"/>
        <w:rPr>
          <w:rFonts w:hint="eastAsia" w:ascii="宋体" w:hAnsi="宋体" w:eastAsia="宋体" w:cs="宋体"/>
          <w:color w:val="auto"/>
          <w:sz w:val="24"/>
          <w:highlight w:val="none"/>
          <w:lang w:val="en-US" w:eastAsia="zh-CN" w:bidi="ar"/>
        </w:rPr>
      </w:pPr>
      <w:r>
        <w:rPr>
          <w:rFonts w:hint="eastAsia" w:ascii="宋体" w:hAnsi="宋体" w:eastAsia="宋体" w:cs="宋体"/>
          <w:color w:val="auto"/>
          <w:sz w:val="24"/>
          <w:highlight w:val="none"/>
          <w:lang w:val="en-US" w:eastAsia="zh-CN" w:bidi="ar"/>
        </w:rPr>
        <w:t>供应商提交的审查资料不齐全或未按规定时间要求提交的，采购人或代理机构将不予接收。鉴于资料审核工作量较大，供应商应充分预留合理审查及补正时间，由此产生的一切风险及责任由供应商自行承担。</w:t>
      </w:r>
    </w:p>
    <w:p w14:paraId="2209061B">
      <w:pPr>
        <w:spacing w:line="400" w:lineRule="exact"/>
        <w:ind w:firstLine="480" w:firstLineChars="200"/>
        <w:jc w:val="left"/>
        <w:rPr>
          <w:rFonts w:hint="eastAsia" w:ascii="宋体" w:hAnsi="宋体" w:eastAsia="宋体" w:cs="宋体"/>
          <w:color w:val="auto"/>
          <w:sz w:val="24"/>
          <w:highlight w:val="none"/>
          <w:lang w:val="en-US" w:eastAsia="zh-CN" w:bidi="ar"/>
        </w:rPr>
      </w:pPr>
      <w:r>
        <w:rPr>
          <w:rFonts w:hint="eastAsia" w:ascii="宋体" w:hAnsi="宋体" w:eastAsia="宋体" w:cs="宋体"/>
          <w:color w:val="auto"/>
          <w:sz w:val="24"/>
          <w:highlight w:val="none"/>
          <w:lang w:val="en-US" w:eastAsia="zh-CN" w:bidi="ar"/>
        </w:rPr>
        <w:t>所提供的资质文件中如有虚假情况，或通过中粮E采供应链采购平台的账号系统操作包括但不限于（下载采购文件、制作响应文件、递交响应文件、响应文件开启、澄清答疑等所有与项目相关的系统操作环节)所使用的硬件设备具有唯一性，与其他任何单位共用同一硬件信息（同一采购包），一经发现将被取消谈判资格并列入供应商黑名单。</w:t>
      </w:r>
    </w:p>
    <w:p w14:paraId="5C80350F">
      <w:pPr>
        <w:adjustRightInd w:val="0"/>
        <w:snapToGrid w:val="0"/>
        <w:spacing w:before="120" w:after="120" w:line="400" w:lineRule="exact"/>
        <w:ind w:firstLine="422" w:firstLineChars="150"/>
        <w:rPr>
          <w:rFonts w:hint="eastAsia" w:ascii="宋体" w:hAnsi="宋体" w:eastAsia="宋体" w:cs="宋体"/>
          <w:b/>
          <w:bCs/>
          <w:color w:val="auto"/>
          <w:sz w:val="28"/>
          <w:szCs w:val="32"/>
          <w:highlight w:val="none"/>
        </w:rPr>
      </w:pPr>
      <w:r>
        <w:rPr>
          <w:rFonts w:hint="eastAsia" w:ascii="宋体" w:hAnsi="宋体" w:eastAsia="宋体" w:cs="宋体"/>
          <w:b/>
          <w:bCs/>
          <w:color w:val="auto"/>
          <w:sz w:val="28"/>
          <w:szCs w:val="32"/>
          <w:highlight w:val="none"/>
        </w:rPr>
        <w:t>4. 采购文件的获取</w:t>
      </w:r>
      <w:bookmarkEnd w:id="8"/>
      <w:bookmarkEnd w:id="9"/>
    </w:p>
    <w:p w14:paraId="48810E8E">
      <w:pPr>
        <w:adjustRightInd w:val="0"/>
        <w:snapToGrid w:val="0"/>
        <w:spacing w:line="400" w:lineRule="exact"/>
        <w:ind w:firstLine="480" w:firstLineChars="200"/>
        <w:rPr>
          <w:rFonts w:hint="eastAsia" w:ascii="宋体" w:hAnsi="宋体" w:eastAsia="宋体" w:cs="宋体"/>
          <w:color w:val="auto"/>
          <w:sz w:val="24"/>
          <w:szCs w:val="24"/>
          <w:highlight w:val="none"/>
          <w:u w:val="single"/>
        </w:rPr>
      </w:pPr>
      <w:bookmarkStart w:id="10" w:name="_Toc501460636"/>
      <w:r>
        <w:rPr>
          <w:rFonts w:hint="eastAsia" w:ascii="宋体" w:hAnsi="宋体" w:eastAsia="宋体" w:cs="宋体"/>
          <w:color w:val="auto"/>
          <w:sz w:val="24"/>
          <w:szCs w:val="24"/>
          <w:highlight w:val="none"/>
        </w:rPr>
        <w:t>4.1 公告时间：</w:t>
      </w:r>
      <w:r>
        <w:rPr>
          <w:rFonts w:hint="eastAsia" w:ascii="宋体" w:hAnsi="宋体" w:eastAsia="宋体" w:cs="宋体"/>
          <w:color w:val="auto"/>
          <w:sz w:val="24"/>
          <w:szCs w:val="24"/>
          <w:highlight w:val="none"/>
          <w:lang w:eastAsia="zh-CN"/>
        </w:rPr>
        <w:t>2026年3月1日至2026年3月13日（若公告截止日期调整，以中粮E采供应链采购平台公示时间为准）。</w:t>
      </w:r>
    </w:p>
    <w:p w14:paraId="5158C9C3">
      <w:pPr>
        <w:adjustRightInd w:val="0"/>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 审查资料时间：同公告时间。</w:t>
      </w:r>
    </w:p>
    <w:p w14:paraId="75F1B068">
      <w:pPr>
        <w:adjustRightInd w:val="0"/>
        <w:snapToGrid w:val="0"/>
        <w:spacing w:line="400" w:lineRule="exact"/>
        <w:ind w:firstLine="480" w:firstLineChars="200"/>
        <w:rPr>
          <w:rFonts w:hint="eastAsia" w:ascii="宋体" w:hAnsi="宋体" w:eastAsia="宋体" w:cs="宋体"/>
          <w:color w:val="auto"/>
          <w:sz w:val="24"/>
          <w:szCs w:val="24"/>
          <w:highlight w:val="none"/>
        </w:rPr>
      </w:pPr>
      <w:bookmarkStart w:id="11" w:name="_Hlk106202720"/>
      <w:r>
        <w:rPr>
          <w:rFonts w:hint="eastAsia" w:ascii="宋体" w:hAnsi="宋体" w:eastAsia="宋体" w:cs="宋体"/>
          <w:color w:val="auto"/>
          <w:sz w:val="24"/>
          <w:szCs w:val="24"/>
          <w:highlight w:val="none"/>
        </w:rPr>
        <w:t>4.3采购文件获取截止时间：</w:t>
      </w:r>
      <w:r>
        <w:rPr>
          <w:rFonts w:hint="eastAsia" w:ascii="宋体" w:hAnsi="宋体" w:eastAsia="宋体" w:cs="宋体"/>
          <w:color w:val="auto"/>
          <w:sz w:val="24"/>
          <w:szCs w:val="24"/>
          <w:highlight w:val="none"/>
          <w:lang w:eastAsia="zh-CN"/>
        </w:rPr>
        <w:t>2026</w:t>
      </w:r>
      <w:r>
        <w:rPr>
          <w:rFonts w:hint="eastAsia" w:ascii="宋体" w:hAnsi="宋体" w:eastAsia="宋体" w:cs="宋体"/>
          <w:color w:val="auto"/>
          <w:sz w:val="24"/>
          <w:szCs w:val="24"/>
          <w:highlight w:val="none"/>
        </w:rPr>
        <w:t>年3月</w:t>
      </w:r>
      <w:r>
        <w:rPr>
          <w:rFonts w:hint="eastAsia" w:ascii="宋体" w:hAnsi="宋体" w:eastAsia="宋体" w:cs="宋体"/>
          <w:color w:val="auto"/>
          <w:sz w:val="24"/>
          <w:szCs w:val="24"/>
          <w:highlight w:val="none"/>
          <w:lang w:val="en-US" w:eastAsia="zh-CN"/>
        </w:rPr>
        <w:t>16</w:t>
      </w:r>
      <w:r>
        <w:rPr>
          <w:rFonts w:hint="eastAsia" w:ascii="宋体" w:hAnsi="宋体" w:eastAsia="宋体" w:cs="宋体"/>
          <w:color w:val="auto"/>
          <w:sz w:val="24"/>
          <w:szCs w:val="24"/>
          <w:highlight w:val="none"/>
        </w:rPr>
        <w:t>日（具体时间以中粮E采供应链采购平台发出采购公告中时间为准）。谈判文件售价：200元/包</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每家供应商文件费封顶</w:t>
      </w:r>
      <w:r>
        <w:rPr>
          <w:rFonts w:hint="eastAsia" w:ascii="宋体" w:hAnsi="宋体" w:eastAsia="宋体" w:cs="宋体"/>
          <w:color w:val="auto"/>
          <w:sz w:val="24"/>
          <w:szCs w:val="24"/>
          <w:highlight w:val="none"/>
          <w:lang w:eastAsia="zh-CN"/>
        </w:rPr>
        <w:t>为1000元。</w:t>
      </w:r>
      <w:r>
        <w:rPr>
          <w:rFonts w:hint="eastAsia" w:ascii="宋体" w:hAnsi="宋体" w:eastAsia="宋体" w:cs="宋体"/>
          <w:color w:val="auto"/>
          <w:sz w:val="24"/>
          <w:szCs w:val="24"/>
          <w:highlight w:val="none"/>
        </w:rPr>
        <w:t>售后不退，通过公告附件扫描二维码支付，未进行扫码支付的，其响应将被拒绝。</w:t>
      </w:r>
    </w:p>
    <w:bookmarkEnd w:id="11"/>
    <w:p w14:paraId="2C914E87">
      <w:pPr>
        <w:adjustRightInd w:val="0"/>
        <w:snapToGrid w:val="0"/>
        <w:spacing w:line="400" w:lineRule="exact"/>
        <w:ind w:firstLine="480" w:firstLineChars="200"/>
        <w:rPr>
          <w:rFonts w:hint="eastAsia" w:ascii="宋体" w:hAnsi="宋体" w:eastAsia="宋体" w:cs="宋体"/>
          <w:color w:val="auto"/>
          <w:sz w:val="24"/>
          <w:szCs w:val="24"/>
          <w:highlight w:val="none"/>
        </w:rPr>
      </w:pPr>
      <w:bookmarkStart w:id="12" w:name="_Toc16631"/>
      <w:r>
        <w:rPr>
          <w:rFonts w:hint="eastAsia" w:ascii="宋体" w:hAnsi="宋体" w:eastAsia="宋体" w:cs="宋体"/>
          <w:color w:val="auto"/>
          <w:sz w:val="24"/>
          <w:szCs w:val="24"/>
          <w:highlight w:val="none"/>
        </w:rPr>
        <w:t>4.4获取地点：中粮E采供应链采购平台</w:t>
      </w:r>
    </w:p>
    <w:p w14:paraId="001ABC91">
      <w:pPr>
        <w:adjustRightInd w:val="0"/>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（网址：https://ecai.cofco.com/web-portal/index.html#/home）。</w:t>
      </w:r>
    </w:p>
    <w:p w14:paraId="500D2B2B">
      <w:pPr>
        <w:adjustRightInd w:val="0"/>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4.5获取方式：详见帮助中心-操作指南</w:t>
      </w:r>
    </w:p>
    <w:p w14:paraId="2350C97F">
      <w:pPr>
        <w:adjustRightInd w:val="0"/>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（网址：https://ecai.cofco.com/web-portal/#/help/help-content）。</w:t>
      </w:r>
    </w:p>
    <w:p w14:paraId="4CE03D3E">
      <w:pPr>
        <w:adjustRightInd w:val="0"/>
        <w:snapToGrid w:val="0"/>
        <w:spacing w:before="120" w:after="120" w:line="400" w:lineRule="exact"/>
        <w:ind w:firstLine="422" w:firstLineChars="150"/>
        <w:rPr>
          <w:rFonts w:hint="eastAsia" w:ascii="宋体" w:hAnsi="宋体" w:eastAsia="宋体" w:cs="宋体"/>
          <w:b/>
          <w:bCs/>
          <w:color w:val="auto"/>
          <w:sz w:val="28"/>
          <w:szCs w:val="32"/>
          <w:highlight w:val="none"/>
        </w:rPr>
      </w:pPr>
      <w:r>
        <w:rPr>
          <w:rFonts w:hint="eastAsia" w:ascii="宋体" w:hAnsi="宋体" w:eastAsia="宋体" w:cs="宋体"/>
          <w:b/>
          <w:bCs/>
          <w:color w:val="auto"/>
          <w:sz w:val="28"/>
          <w:szCs w:val="32"/>
          <w:highlight w:val="none"/>
        </w:rPr>
        <w:t>5. 响应文件的递交</w:t>
      </w:r>
      <w:bookmarkEnd w:id="10"/>
      <w:bookmarkEnd w:id="12"/>
    </w:p>
    <w:p w14:paraId="1F7760C6">
      <w:pPr>
        <w:spacing w:line="400" w:lineRule="exact"/>
        <w:ind w:firstLine="480" w:firstLineChars="200"/>
        <w:jc w:val="left"/>
        <w:rPr>
          <w:rFonts w:hint="eastAsia" w:ascii="宋体" w:hAnsi="宋体" w:eastAsia="宋体" w:cs="宋体"/>
          <w:color w:val="auto"/>
          <w:sz w:val="24"/>
          <w:highlight w:val="none"/>
          <w:lang w:bidi="ar"/>
        </w:rPr>
      </w:pPr>
      <w:r>
        <w:rPr>
          <w:rFonts w:hint="eastAsia" w:ascii="宋体" w:hAnsi="宋体" w:eastAsia="宋体" w:cs="宋体"/>
          <w:color w:val="auto"/>
          <w:sz w:val="24"/>
          <w:highlight w:val="none"/>
        </w:rPr>
        <w:t xml:space="preserve">5.1 </w:t>
      </w:r>
      <w:r>
        <w:rPr>
          <w:rFonts w:hint="eastAsia" w:ascii="宋体" w:hAnsi="宋体" w:eastAsia="宋体" w:cs="宋体"/>
          <w:color w:val="auto"/>
          <w:sz w:val="24"/>
          <w:highlight w:val="none"/>
          <w:lang w:bidi="ar"/>
        </w:rPr>
        <w:t>响应文件递交地点及截止时</w:t>
      </w:r>
      <w:r>
        <w:rPr>
          <w:rFonts w:hint="eastAsia" w:ascii="宋体" w:hAnsi="宋体" w:eastAsia="宋体" w:cs="宋体"/>
          <w:color w:val="auto"/>
          <w:sz w:val="24"/>
          <w:szCs w:val="24"/>
          <w:highlight w:val="none"/>
        </w:rPr>
        <w:t>间：</w:t>
      </w:r>
      <w:r>
        <w:rPr>
          <w:rFonts w:hint="eastAsia" w:ascii="宋体" w:hAnsi="宋体" w:eastAsia="宋体" w:cs="宋体"/>
          <w:color w:val="auto"/>
          <w:sz w:val="24"/>
          <w:szCs w:val="24"/>
          <w:highlight w:val="none"/>
          <w:lang w:eastAsia="zh-CN"/>
        </w:rPr>
        <w:t>2026</w:t>
      </w:r>
      <w:r>
        <w:rPr>
          <w:rFonts w:hint="eastAsia" w:ascii="宋体" w:hAnsi="宋体" w:eastAsia="宋体" w:cs="宋体"/>
          <w:color w:val="auto"/>
          <w:sz w:val="24"/>
          <w:szCs w:val="24"/>
          <w:highlight w:val="none"/>
        </w:rPr>
        <w:t>年3月</w:t>
      </w:r>
      <w:r>
        <w:rPr>
          <w:rFonts w:hint="eastAsia" w:ascii="宋体" w:hAnsi="宋体" w:eastAsia="宋体" w:cs="宋体"/>
          <w:color w:val="auto"/>
          <w:sz w:val="24"/>
          <w:szCs w:val="24"/>
          <w:highlight w:val="none"/>
          <w:lang w:val="en-US" w:eastAsia="zh-CN"/>
        </w:rPr>
        <w:t>17</w:t>
      </w:r>
      <w:r>
        <w:rPr>
          <w:rFonts w:hint="eastAsia" w:ascii="宋体" w:hAnsi="宋体" w:eastAsia="宋体" w:cs="宋体"/>
          <w:color w:val="auto"/>
          <w:sz w:val="24"/>
          <w:szCs w:val="24"/>
          <w:highlight w:val="none"/>
        </w:rPr>
        <w:t>日9时</w:t>
      </w:r>
      <w:r>
        <w:rPr>
          <w:rFonts w:hint="eastAsia" w:ascii="宋体" w:hAnsi="宋体" w:eastAsia="宋体" w:cs="宋体"/>
          <w:color w:val="auto"/>
          <w:sz w:val="24"/>
          <w:highlight w:val="none"/>
          <w:lang w:bidi="ar"/>
        </w:rPr>
        <w:t>30分（具体时间以中粮E采供应链采购平台发出采购公告中时间为准）。</w:t>
      </w:r>
    </w:p>
    <w:p w14:paraId="1ACF3138">
      <w:pPr>
        <w:spacing w:line="400" w:lineRule="exact"/>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bidi="ar"/>
        </w:rPr>
        <w:t>地点为系统线上递交，中粮E采供应链采购平台。</w:t>
      </w:r>
    </w:p>
    <w:p w14:paraId="5658280D">
      <w:pPr>
        <w:spacing w:line="400" w:lineRule="exact"/>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bidi="ar"/>
        </w:rPr>
        <w:t>5.2响应文件开启时间、地点：在响应文件递交截止时间的同一时间，在中粮E采供应链采购平台开启响应文件。</w:t>
      </w:r>
    </w:p>
    <w:p w14:paraId="5C262EF4">
      <w:pPr>
        <w:spacing w:line="400" w:lineRule="exact"/>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bidi="ar"/>
        </w:rPr>
        <w:t>供应商于上述规定的开启时间、开启地点使用 CA 认证证书登录中粮 E 采供应链采购平台进行签到、解密并开启响应文件。如因供应商问题，解密不成功，则响应无效。</w:t>
      </w:r>
    </w:p>
    <w:p w14:paraId="11170466">
      <w:pPr>
        <w:spacing w:line="400" w:lineRule="exact"/>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bidi="ar"/>
        </w:rPr>
        <w:t>特别提醒：发出解密指令后，解密时间为 60 分钟，供应商应在此时间内完成解密，否则导致响应无效等后果自负。确认开启记录，供应商对开启响应文件有异议应在系统上提出，超过时间系统自动确认。邀请所有供应商参加开启，供应商未参加开启的，默认视为放弃。</w:t>
      </w:r>
    </w:p>
    <w:p w14:paraId="5BF3729B">
      <w:pPr>
        <w:adjustRightInd w:val="0"/>
        <w:snapToGrid w:val="0"/>
        <w:spacing w:before="120" w:after="120" w:line="400" w:lineRule="exact"/>
        <w:ind w:firstLine="422" w:firstLineChars="150"/>
        <w:rPr>
          <w:rFonts w:hint="eastAsia" w:ascii="宋体" w:hAnsi="宋体" w:eastAsia="宋体" w:cs="宋体"/>
          <w:b/>
          <w:bCs/>
          <w:color w:val="auto"/>
          <w:sz w:val="28"/>
          <w:szCs w:val="32"/>
          <w:highlight w:val="none"/>
        </w:rPr>
      </w:pPr>
      <w:bookmarkStart w:id="13" w:name="_Toc8181"/>
      <w:bookmarkStart w:id="14" w:name="_Toc501460637"/>
      <w:r>
        <w:rPr>
          <w:rFonts w:hint="eastAsia" w:ascii="宋体" w:hAnsi="宋体" w:eastAsia="宋体" w:cs="宋体"/>
          <w:b/>
          <w:bCs/>
          <w:color w:val="auto"/>
          <w:sz w:val="28"/>
          <w:szCs w:val="32"/>
          <w:highlight w:val="none"/>
        </w:rPr>
        <w:t>6. 谈判时间和地点</w:t>
      </w:r>
      <w:bookmarkEnd w:id="13"/>
    </w:p>
    <w:p w14:paraId="3FEA33F3">
      <w:pPr>
        <w:spacing w:line="400" w:lineRule="exact"/>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bidi="ar"/>
        </w:rPr>
        <w:t>递交响应文件的供应商应委派代表准时参加线上谈判活动；</w:t>
      </w:r>
    </w:p>
    <w:p w14:paraId="050B32FE">
      <w:pPr>
        <w:widowControl/>
        <w:spacing w:line="400" w:lineRule="exact"/>
        <w:ind w:firstLine="482" w:firstLineChars="200"/>
        <w:jc w:val="left"/>
        <w:rPr>
          <w:rFonts w:hint="eastAsia" w:ascii="宋体" w:hAnsi="宋体" w:eastAsia="宋体" w:cs="宋体"/>
          <w:color w:val="auto"/>
          <w:sz w:val="24"/>
          <w:highlight w:val="none"/>
        </w:rPr>
      </w:pPr>
      <w:r>
        <w:rPr>
          <w:rFonts w:hint="eastAsia" w:ascii="宋体" w:hAnsi="宋体" w:eastAsia="宋体" w:cs="宋体"/>
          <w:b/>
          <w:bCs/>
          <w:color w:val="auto"/>
          <w:sz w:val="24"/>
          <w:highlight w:val="none"/>
          <w:lang w:bidi="ar"/>
        </w:rPr>
        <w:t>谈判开始时间：</w:t>
      </w:r>
      <w:r>
        <w:rPr>
          <w:rFonts w:hint="eastAsia" w:ascii="宋体" w:hAnsi="宋体" w:eastAsia="宋体" w:cs="宋体"/>
          <w:color w:val="auto"/>
          <w:sz w:val="24"/>
          <w:highlight w:val="none"/>
          <w:lang w:bidi="ar"/>
        </w:rPr>
        <w:t>响应文件开启时间之后，会经过本项目清标工作，具体谈判的时间和中粮E采线上报价时间另行通知；</w:t>
      </w:r>
    </w:p>
    <w:p w14:paraId="1760641D">
      <w:pPr>
        <w:widowControl/>
        <w:spacing w:line="400" w:lineRule="exact"/>
        <w:ind w:firstLine="482" w:firstLineChars="200"/>
        <w:jc w:val="left"/>
        <w:rPr>
          <w:rFonts w:hint="eastAsia" w:ascii="宋体" w:hAnsi="宋体" w:eastAsia="宋体" w:cs="宋体"/>
          <w:b/>
          <w:bCs/>
          <w:color w:val="auto"/>
          <w:sz w:val="36"/>
          <w:szCs w:val="32"/>
          <w:highlight w:val="none"/>
        </w:rPr>
      </w:pPr>
      <w:r>
        <w:rPr>
          <w:rFonts w:hint="eastAsia" w:ascii="宋体" w:hAnsi="宋体" w:eastAsia="宋体" w:cs="宋体"/>
          <w:b/>
          <w:bCs/>
          <w:color w:val="auto"/>
          <w:sz w:val="24"/>
          <w:highlight w:val="none"/>
          <w:lang w:bidi="ar"/>
        </w:rPr>
        <w:t>谈判地点：</w:t>
      </w:r>
      <w:r>
        <w:rPr>
          <w:rFonts w:hint="eastAsia" w:ascii="宋体" w:hAnsi="宋体" w:eastAsia="宋体" w:cs="宋体"/>
          <w:color w:val="auto"/>
          <w:sz w:val="24"/>
          <w:highlight w:val="none"/>
          <w:lang w:bidi="ar"/>
        </w:rPr>
        <w:t>本项目采用线上谈判方式，在线会议链接将在谈判开始时间前发送。</w:t>
      </w:r>
    </w:p>
    <w:p w14:paraId="0B49FF62">
      <w:pPr>
        <w:adjustRightInd w:val="0"/>
        <w:snapToGrid w:val="0"/>
        <w:spacing w:before="120" w:after="120" w:line="400" w:lineRule="exact"/>
        <w:ind w:firstLine="422" w:firstLineChars="150"/>
        <w:rPr>
          <w:rFonts w:hint="eastAsia" w:ascii="宋体" w:hAnsi="宋体" w:eastAsia="宋体" w:cs="宋体"/>
          <w:b/>
          <w:bCs/>
          <w:color w:val="auto"/>
          <w:sz w:val="28"/>
          <w:szCs w:val="32"/>
          <w:highlight w:val="none"/>
        </w:rPr>
      </w:pPr>
      <w:bookmarkStart w:id="15" w:name="_Toc7578"/>
      <w:r>
        <w:rPr>
          <w:rFonts w:hint="eastAsia" w:ascii="宋体" w:hAnsi="宋体" w:eastAsia="宋体" w:cs="宋体"/>
          <w:b/>
          <w:bCs/>
          <w:color w:val="auto"/>
          <w:sz w:val="28"/>
          <w:szCs w:val="32"/>
          <w:highlight w:val="none"/>
        </w:rPr>
        <w:t>7. 发布公告的媒介</w:t>
      </w:r>
      <w:bookmarkEnd w:id="14"/>
      <w:bookmarkEnd w:id="15"/>
    </w:p>
    <w:p w14:paraId="6A239AEA">
      <w:pPr>
        <w:wordWrap w:val="0"/>
        <w:spacing w:line="400" w:lineRule="exact"/>
        <w:ind w:firstLine="480" w:firstLineChars="200"/>
        <w:rPr>
          <w:rFonts w:hint="eastAsia" w:ascii="宋体" w:hAnsi="宋体" w:eastAsia="宋体" w:cs="宋体"/>
          <w:color w:val="auto"/>
          <w:sz w:val="24"/>
          <w:highlight w:val="none"/>
          <w:lang w:eastAsia="zh-CN"/>
        </w:rPr>
      </w:pPr>
      <w:bookmarkStart w:id="16" w:name="_Hlk106202749"/>
      <w:bookmarkStart w:id="17" w:name="_Toc501460638"/>
      <w:r>
        <w:rPr>
          <w:rFonts w:hint="eastAsia" w:ascii="宋体" w:hAnsi="宋体" w:eastAsia="宋体" w:cs="宋体"/>
          <w:color w:val="auto"/>
          <w:sz w:val="24"/>
          <w:highlight w:val="none"/>
        </w:rPr>
        <w:t>中粮E采供应链采购平台（https://ecai.cofco.com/web-portal/index.html#/home）</w:t>
      </w:r>
      <w:r>
        <w:rPr>
          <w:rFonts w:hint="eastAsia" w:ascii="宋体" w:hAnsi="宋体" w:eastAsia="宋体" w:cs="宋体"/>
          <w:color w:val="auto"/>
          <w:sz w:val="24"/>
          <w:highlight w:val="none"/>
          <w:lang w:eastAsia="zh-CN"/>
        </w:rPr>
        <w:t>；</w:t>
      </w:r>
    </w:p>
    <w:p w14:paraId="0B7EA8D2">
      <w:pPr>
        <w:wordWrap w:val="0"/>
        <w:spacing w:line="400" w:lineRule="exact"/>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中国招标投标公共服务平台（http://www.cebpubservice.com）</w:t>
      </w:r>
      <w:bookmarkEnd w:id="16"/>
      <w:r>
        <w:rPr>
          <w:rFonts w:hint="eastAsia" w:ascii="宋体" w:hAnsi="宋体" w:eastAsia="宋体" w:cs="宋体"/>
          <w:color w:val="auto"/>
          <w:sz w:val="24"/>
          <w:highlight w:val="none"/>
          <w:lang w:eastAsia="zh-CN"/>
        </w:rPr>
        <w:t>；</w:t>
      </w:r>
    </w:p>
    <w:p w14:paraId="1B1DA0B8">
      <w:pPr>
        <w:wordWrap w:val="0"/>
        <w:spacing w:line="400" w:lineRule="exact"/>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中国物流招标网（http://www.clb.org.cn/）</w:t>
      </w:r>
      <w:r>
        <w:rPr>
          <w:rFonts w:hint="eastAsia" w:ascii="宋体" w:hAnsi="宋体" w:eastAsia="宋体" w:cs="宋体"/>
          <w:color w:val="auto"/>
          <w:sz w:val="24"/>
          <w:highlight w:val="none"/>
          <w:lang w:eastAsia="zh-CN"/>
        </w:rPr>
        <w:t>；</w:t>
      </w:r>
    </w:p>
    <w:p w14:paraId="07619526">
      <w:pPr>
        <w:widowControl/>
        <w:wordWrap w:val="0"/>
        <w:spacing w:line="400" w:lineRule="exact"/>
        <w:ind w:firstLine="480" w:firstLineChars="200"/>
        <w:rPr>
          <w:rFonts w:hint="eastAsia" w:ascii="宋体" w:hAnsi="宋体" w:eastAsia="宋体" w:cs="宋体"/>
          <w:b/>
          <w:bCs/>
          <w:color w:val="auto"/>
          <w:sz w:val="36"/>
          <w:szCs w:val="32"/>
          <w:highlight w:val="none"/>
        </w:rPr>
      </w:pPr>
      <w:bookmarkStart w:id="18" w:name="_Toc8961"/>
      <w:r>
        <w:rPr>
          <w:rFonts w:hint="eastAsia" w:ascii="宋体" w:hAnsi="宋体" w:eastAsia="宋体" w:cs="宋体"/>
          <w:color w:val="auto"/>
          <w:sz w:val="24"/>
          <w:highlight w:val="none"/>
          <w:lang w:bidi="ar"/>
        </w:rPr>
        <w:t>此公告只在以上平台发布，其他任何媒体转载无效；以上三个平台如有发布内容差异的，以中粮 E 采供应链采购平台内容为准。</w:t>
      </w:r>
    </w:p>
    <w:p w14:paraId="42B9796E">
      <w:pPr>
        <w:adjustRightInd w:val="0"/>
        <w:snapToGrid w:val="0"/>
        <w:spacing w:before="120" w:after="120" w:line="400" w:lineRule="exact"/>
        <w:ind w:firstLine="422" w:firstLineChars="150"/>
        <w:rPr>
          <w:rFonts w:hint="eastAsia" w:ascii="宋体" w:hAnsi="宋体" w:eastAsia="宋体" w:cs="宋体"/>
          <w:b/>
          <w:bCs/>
          <w:color w:val="auto"/>
          <w:sz w:val="28"/>
          <w:szCs w:val="32"/>
          <w:highlight w:val="none"/>
        </w:rPr>
      </w:pPr>
      <w:r>
        <w:rPr>
          <w:rFonts w:hint="eastAsia" w:ascii="宋体" w:hAnsi="宋体" w:eastAsia="宋体" w:cs="宋体"/>
          <w:b/>
          <w:bCs/>
          <w:color w:val="auto"/>
          <w:sz w:val="28"/>
          <w:szCs w:val="32"/>
          <w:highlight w:val="none"/>
        </w:rPr>
        <w:t>8. 其他补充事宜</w:t>
      </w:r>
    </w:p>
    <w:p w14:paraId="7E61076C">
      <w:pPr>
        <w:widowControl/>
        <w:adjustRightInd w:val="0"/>
        <w:snapToGrid w:val="0"/>
        <w:spacing w:line="400" w:lineRule="exact"/>
        <w:ind w:firstLine="482" w:firstLineChars="200"/>
        <w:jc w:val="left"/>
        <w:rPr>
          <w:rFonts w:hint="eastAsia" w:ascii="宋体" w:hAnsi="宋体" w:eastAsia="宋体" w:cs="宋体"/>
          <w:bCs/>
          <w:color w:val="auto"/>
          <w:sz w:val="24"/>
          <w:szCs w:val="21"/>
          <w:highlight w:val="none"/>
          <w:lang w:bidi="ar"/>
        </w:rPr>
      </w:pPr>
      <w:r>
        <w:rPr>
          <w:rFonts w:hint="eastAsia" w:ascii="宋体" w:hAnsi="宋体" w:eastAsia="宋体" w:cs="宋体"/>
          <w:b/>
          <w:bCs/>
          <w:color w:val="auto"/>
          <w:sz w:val="24"/>
          <w:szCs w:val="21"/>
          <w:highlight w:val="none"/>
        </w:rPr>
        <w:t>8.1.</w:t>
      </w:r>
      <w:r>
        <w:rPr>
          <w:rFonts w:hint="eastAsia" w:ascii="宋体" w:hAnsi="宋体" w:eastAsia="宋体" w:cs="宋体"/>
          <w:b/>
          <w:bCs/>
          <w:color w:val="auto"/>
          <w:sz w:val="24"/>
          <w:szCs w:val="21"/>
          <w:highlight w:val="none"/>
          <w:lang w:bidi="ar"/>
        </w:rPr>
        <w:t>本项目采用全流程电子化采购方式</w:t>
      </w:r>
      <w:r>
        <w:rPr>
          <w:rFonts w:hint="eastAsia" w:ascii="宋体" w:hAnsi="宋体" w:eastAsia="宋体" w:cs="宋体"/>
          <w:color w:val="auto"/>
          <w:sz w:val="24"/>
          <w:szCs w:val="21"/>
          <w:highlight w:val="none"/>
          <w:lang w:bidi="ar"/>
        </w:rPr>
        <w:t>，请供应商认真学习中粮E采供应链采购平台发布的相关操作手册，在中粮E采供应链采购平台注册绑定，办理CA认证证书等，并认真核实</w:t>
      </w:r>
      <w:r>
        <w:rPr>
          <w:rFonts w:hint="eastAsia" w:ascii="宋体" w:hAnsi="宋体" w:eastAsia="宋体" w:cs="宋体"/>
          <w:bCs/>
          <w:color w:val="auto"/>
          <w:sz w:val="24"/>
          <w:szCs w:val="21"/>
          <w:highlight w:val="none"/>
          <w:lang w:bidi="ar"/>
        </w:rPr>
        <w:t>数字认证证书情况确认是否符合本项目电子化采购流程要求。</w:t>
      </w:r>
    </w:p>
    <w:p w14:paraId="5D69F9AF">
      <w:pPr>
        <w:adjustRightInd w:val="0"/>
        <w:snapToGrid w:val="0"/>
        <w:spacing w:line="400" w:lineRule="exact"/>
        <w:ind w:firstLine="482" w:firstLineChars="200"/>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lang w:bidi="ar"/>
        </w:rPr>
        <w:t>CA认证证书服务热线：白天拨打4009197888、晚上拨打010-58515511。</w:t>
      </w:r>
    </w:p>
    <w:p w14:paraId="03E310CF">
      <w:pPr>
        <w:spacing w:line="400" w:lineRule="exact"/>
        <w:ind w:firstLine="482" w:firstLineChars="200"/>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lang w:bidi="ar"/>
        </w:rPr>
        <w:t>平台技术支持服务热线：</w:t>
      </w:r>
      <w:r>
        <w:rPr>
          <w:rFonts w:hint="eastAsia" w:ascii="宋体" w:hAnsi="宋体" w:eastAsia="宋体" w:cs="宋体"/>
          <w:b/>
          <w:bCs/>
          <w:color w:val="auto"/>
          <w:sz w:val="24"/>
          <w:szCs w:val="21"/>
          <w:highlight w:val="none"/>
          <w:lang w:eastAsia="zh-CN" w:bidi="ar"/>
        </w:rPr>
        <w:t>020-28186098</w:t>
      </w:r>
      <w:r>
        <w:rPr>
          <w:rFonts w:hint="eastAsia" w:ascii="宋体" w:hAnsi="宋体" w:eastAsia="宋体" w:cs="宋体"/>
          <w:b/>
          <w:bCs/>
          <w:color w:val="auto"/>
          <w:sz w:val="24"/>
          <w:szCs w:val="21"/>
          <w:highlight w:val="none"/>
          <w:lang w:bidi="ar"/>
        </w:rPr>
        <w:t>（人工服务时间：工作日8：00-18：00，非工作日9:00-12:00，14:00-18:00。）</w:t>
      </w:r>
    </w:p>
    <w:p w14:paraId="31955B22">
      <w:pPr>
        <w:widowControl/>
        <w:wordWrap w:val="0"/>
        <w:spacing w:line="400" w:lineRule="exact"/>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bidi="ar"/>
        </w:rPr>
        <w:t>8.1.1 操作手册下载</w:t>
      </w:r>
    </w:p>
    <w:p w14:paraId="44C97B7E">
      <w:pPr>
        <w:widowControl/>
        <w:wordWrap w:val="0"/>
        <w:spacing w:line="400" w:lineRule="exact"/>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bidi="ar"/>
        </w:rPr>
        <w:t>供应商登录中粮E采供应链采购平台“帮助中心”—“操作指南”—“ 中粮E采供应链采购平台操作手册”下载《中粮集团数字化采购管理平台建设项目用户使用手册-供应商》、《CA 证书申请-供应商》手册。</w:t>
      </w:r>
    </w:p>
    <w:p w14:paraId="6678D1EE">
      <w:pPr>
        <w:widowControl/>
        <w:wordWrap w:val="0"/>
        <w:spacing w:line="400" w:lineRule="exact"/>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bidi="ar"/>
        </w:rPr>
        <w:t>8.1.2 注册</w:t>
      </w:r>
    </w:p>
    <w:p w14:paraId="18328577">
      <w:pPr>
        <w:widowControl/>
        <w:wordWrap w:val="0"/>
        <w:spacing w:line="400" w:lineRule="exact"/>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bidi="ar"/>
        </w:rPr>
        <w:t>供应商登录中粮 E 采供应链采购平台在“平台登录入口”选择“供应商登录”注册登录，按照《中粮集团数字化采购管理平台建设项目用户使用手册-供应商》指引完成用户注册及登录。</w:t>
      </w:r>
    </w:p>
    <w:p w14:paraId="561EFFD4">
      <w:pPr>
        <w:widowControl/>
        <w:wordWrap w:val="0"/>
        <w:spacing w:line="400" w:lineRule="exact"/>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bidi="ar"/>
        </w:rPr>
        <w:t>8.1.3 办理 CA 认证证书</w:t>
      </w:r>
    </w:p>
    <w:p w14:paraId="124E3033">
      <w:pPr>
        <w:widowControl/>
        <w:wordWrap w:val="0"/>
        <w:spacing w:line="400" w:lineRule="exact"/>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bidi="ar"/>
        </w:rPr>
        <w:t>供应商登录中粮 E 采供应链采购平台查阅右侧漂浮栏点击 “CA 办理”-“证书新办”登录后按照程序要求办理。</w:t>
      </w:r>
    </w:p>
    <w:p w14:paraId="47FF9C8B">
      <w:pPr>
        <w:widowControl/>
        <w:wordWrap w:val="0"/>
        <w:spacing w:line="400" w:lineRule="exact"/>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bidi="ar"/>
        </w:rPr>
        <w:t>8.1.4 驱动、客户端下载</w:t>
      </w:r>
    </w:p>
    <w:p w14:paraId="28C0DA13">
      <w:pPr>
        <w:widowControl/>
        <w:wordWrap w:val="0"/>
        <w:spacing w:line="400" w:lineRule="exact"/>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bidi="ar"/>
        </w:rPr>
        <w:t>供应商登录中粮 E 采供应链采购平台“帮助中心”—“工具软件”下载—“中粮 E 采供应链采购平台驱动管理工具”下载相关驱动并全部安装。</w:t>
      </w:r>
    </w:p>
    <w:p w14:paraId="697E63D1">
      <w:pPr>
        <w:widowControl/>
        <w:wordWrap w:val="0"/>
        <w:spacing w:line="400" w:lineRule="exact"/>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bidi="ar"/>
        </w:rPr>
        <w:t>供应商登录中粮 E 采供应链采购平台“帮助中心”—“工具软件”下载—“中粮 E 采平台投标文件编制工具”下载相关驱动并全部安装。（以上服务热线、相关操作指引、驱动、客户端若与平台系统中不一致，以平台发布最新服务热线、相关操作指引、驱动、客户端为准。）</w:t>
      </w:r>
    </w:p>
    <w:p w14:paraId="51D78030">
      <w:pPr>
        <w:widowControl/>
        <w:wordWrap w:val="0"/>
        <w:spacing w:line="400" w:lineRule="exact"/>
        <w:ind w:firstLine="482" w:firstLineChars="200"/>
        <w:jc w:val="left"/>
        <w:rPr>
          <w:rFonts w:hint="eastAsia" w:ascii="宋体" w:hAnsi="宋体" w:eastAsia="宋体" w:cs="宋体"/>
          <w:color w:val="auto"/>
          <w:sz w:val="24"/>
          <w:highlight w:val="none"/>
        </w:rPr>
      </w:pPr>
      <w:r>
        <w:rPr>
          <w:rFonts w:hint="eastAsia" w:ascii="宋体" w:hAnsi="宋体" w:eastAsia="宋体" w:cs="宋体"/>
          <w:b/>
          <w:bCs/>
          <w:color w:val="auto"/>
          <w:sz w:val="24"/>
          <w:szCs w:val="21"/>
          <w:highlight w:val="none"/>
        </w:rPr>
        <w:t>8.2编制电子响应文件</w:t>
      </w:r>
    </w:p>
    <w:p w14:paraId="157C0EC5">
      <w:pPr>
        <w:widowControl/>
        <w:wordWrap w:val="0"/>
        <w:spacing w:line="400" w:lineRule="exact"/>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bidi="ar"/>
        </w:rPr>
        <w:t>供应商应严格按照响应文件组成要求内容制作电子响应文件并进行线上响应。响应文件内容混做将无法正常评审，其响应文件可能被视为无效；供应商应使用“投标文件编制”软件系统编制电子响应文件并进行线上投标/响应，供应商电子响应文件需要加盖电子签章并加密处理，如由于系统原因无法按照要求在电子响应文件中加盖电子签章和加密，请及时通过技术支持服务热线联系技术人员。</w:t>
      </w:r>
    </w:p>
    <w:p w14:paraId="2CB9423E">
      <w:pPr>
        <w:widowControl/>
        <w:wordWrap w:val="0"/>
        <w:spacing w:line="400" w:lineRule="exact"/>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bidi="ar"/>
        </w:rPr>
        <w:t>在软件系统编制电子响应文件时，导入上传需注意响应文件、可编辑版响应文件分别导入，报价一览表在“投标文件编制”工具直接响应，无需上传文件。</w:t>
      </w:r>
    </w:p>
    <w:p w14:paraId="22731909">
      <w:pPr>
        <w:widowControl/>
        <w:wordWrap w:val="0"/>
        <w:spacing w:line="400" w:lineRule="exact"/>
        <w:ind w:firstLine="482" w:firstLineChars="200"/>
        <w:jc w:val="left"/>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8.3提交电子响应文件</w:t>
      </w:r>
    </w:p>
    <w:p w14:paraId="41A85ACE">
      <w:pPr>
        <w:widowControl/>
        <w:spacing w:line="400" w:lineRule="exact"/>
        <w:jc w:val="left"/>
        <w:rPr>
          <w:rFonts w:hint="eastAsia" w:ascii="宋体" w:hAnsi="宋体" w:eastAsia="宋体" w:cs="宋体"/>
          <w:color w:val="auto"/>
          <w:sz w:val="24"/>
          <w:szCs w:val="21"/>
          <w:highlight w:val="none"/>
        </w:rPr>
      </w:pPr>
      <w:r>
        <w:rPr>
          <w:rFonts w:hint="eastAsia" w:ascii="宋体" w:hAnsi="宋体" w:eastAsia="宋体" w:cs="宋体"/>
          <w:color w:val="auto"/>
          <w:sz w:val="24"/>
          <w:highlight w:val="none"/>
          <w:lang w:bidi="ar"/>
        </w:rPr>
        <w:t>供应商应于提交响应文件截止时间前在中粮 E 采供应链采购平台提交电子响应文件，上传电子响应文件过程中请保持与互联网的连接畅通</w:t>
      </w:r>
      <w:r>
        <w:rPr>
          <w:rFonts w:hint="eastAsia" w:ascii="宋体" w:hAnsi="宋体" w:eastAsia="宋体" w:cs="宋体"/>
          <w:color w:val="auto"/>
          <w:sz w:val="24"/>
          <w:szCs w:val="21"/>
          <w:highlight w:val="none"/>
          <w:lang w:bidi="ar"/>
        </w:rPr>
        <w:t>。</w:t>
      </w:r>
    </w:p>
    <w:p w14:paraId="4DA475F1">
      <w:pPr>
        <w:adjustRightInd w:val="0"/>
        <w:snapToGrid w:val="0"/>
        <w:spacing w:before="120" w:after="120" w:line="400" w:lineRule="exact"/>
        <w:ind w:firstLine="422" w:firstLineChars="150"/>
        <w:rPr>
          <w:rFonts w:hint="eastAsia" w:ascii="宋体" w:hAnsi="宋体" w:eastAsia="宋体" w:cs="宋体"/>
          <w:b/>
          <w:bCs/>
          <w:color w:val="auto"/>
          <w:sz w:val="28"/>
          <w:szCs w:val="32"/>
          <w:highlight w:val="none"/>
        </w:rPr>
      </w:pPr>
      <w:r>
        <w:rPr>
          <w:rFonts w:hint="eastAsia" w:ascii="宋体" w:hAnsi="宋体" w:eastAsia="宋体" w:cs="宋体"/>
          <w:b/>
          <w:bCs/>
          <w:color w:val="auto"/>
          <w:sz w:val="28"/>
          <w:szCs w:val="32"/>
          <w:highlight w:val="none"/>
        </w:rPr>
        <w:t>9. 联系方式</w:t>
      </w:r>
      <w:bookmarkEnd w:id="17"/>
      <w:bookmarkEnd w:id="18"/>
      <w:bookmarkStart w:id="19" w:name="_Toc152042289"/>
      <w:bookmarkEnd w:id="19"/>
      <w:bookmarkStart w:id="20" w:name="_Toc361508560"/>
      <w:bookmarkEnd w:id="20"/>
      <w:bookmarkStart w:id="21" w:name="_Toc352691453"/>
      <w:bookmarkEnd w:id="21"/>
      <w:bookmarkStart w:id="22" w:name="_Toc384308187"/>
      <w:bookmarkEnd w:id="22"/>
      <w:bookmarkStart w:id="23" w:name="_Toc152045512"/>
      <w:bookmarkEnd w:id="23"/>
      <w:bookmarkStart w:id="24" w:name="_Toc17972"/>
      <w:bookmarkEnd w:id="24"/>
      <w:bookmarkStart w:id="25" w:name="_Toc247513935"/>
      <w:bookmarkEnd w:id="25"/>
      <w:bookmarkStart w:id="26" w:name="_Toc247527535"/>
      <w:bookmarkEnd w:id="26"/>
      <w:bookmarkStart w:id="27" w:name="_Toc152045513"/>
      <w:bookmarkEnd w:id="27"/>
      <w:bookmarkStart w:id="28" w:name="_Toc352691456"/>
      <w:bookmarkEnd w:id="28"/>
      <w:bookmarkStart w:id="29" w:name="_Toc369531495"/>
      <w:bookmarkEnd w:id="29"/>
      <w:bookmarkStart w:id="30" w:name="_Toc10785"/>
      <w:bookmarkEnd w:id="30"/>
      <w:bookmarkStart w:id="31" w:name="_Toc352691455"/>
      <w:bookmarkEnd w:id="31"/>
      <w:bookmarkStart w:id="32" w:name="_Toc152042288"/>
      <w:bookmarkEnd w:id="32"/>
      <w:bookmarkStart w:id="33" w:name="_Toc30817"/>
      <w:bookmarkEnd w:id="33"/>
      <w:bookmarkStart w:id="34" w:name="_Toc369531498"/>
      <w:bookmarkEnd w:id="34"/>
      <w:bookmarkStart w:id="35" w:name="_Toc384308188"/>
      <w:bookmarkEnd w:id="35"/>
      <w:bookmarkStart w:id="36" w:name="_Toc300834929"/>
      <w:bookmarkEnd w:id="36"/>
      <w:bookmarkStart w:id="37" w:name="_Toc247527536"/>
      <w:bookmarkEnd w:id="37"/>
      <w:bookmarkStart w:id="38" w:name="_Toc361508562"/>
      <w:bookmarkEnd w:id="38"/>
      <w:bookmarkStart w:id="39" w:name="_Toc300834930"/>
      <w:bookmarkEnd w:id="39"/>
      <w:bookmarkStart w:id="40" w:name="_Toc144974480"/>
      <w:bookmarkEnd w:id="40"/>
      <w:bookmarkStart w:id="41" w:name="_Toc144974481"/>
      <w:bookmarkEnd w:id="41"/>
      <w:bookmarkStart w:id="42" w:name="_Toc247513934"/>
      <w:bookmarkEnd w:id="42"/>
      <w:bookmarkStart w:id="43" w:name="_Toc369531497"/>
      <w:bookmarkEnd w:id="43"/>
      <w:bookmarkStart w:id="44" w:name="_Toc300834927"/>
      <w:bookmarkEnd w:id="44"/>
      <w:bookmarkStart w:id="45" w:name="_Toc384308185"/>
      <w:bookmarkEnd w:id="45"/>
      <w:bookmarkStart w:id="46" w:name="_Toc361508563"/>
      <w:bookmarkEnd w:id="46"/>
    </w:p>
    <w:bookmarkEnd w:id="0"/>
    <w:p w14:paraId="53203958">
      <w:pPr>
        <w:spacing w:line="360" w:lineRule="auto"/>
        <w:ind w:firstLine="241" w:firstLineChars="100"/>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9.1中粮生物科技招标与监督联络方式：</w:t>
      </w:r>
    </w:p>
    <w:p w14:paraId="30F41525">
      <w:pPr>
        <w:spacing w:line="360" w:lineRule="auto"/>
        <w:ind w:firstLine="240" w:firstLineChars="100"/>
        <w:rPr>
          <w:rFonts w:hint="eastAsia" w:ascii="宋体" w:hAnsi="宋体" w:eastAsia="宋体" w:cs="宋体"/>
          <w:color w:val="auto"/>
          <w:sz w:val="24"/>
          <w:highlight w:val="none"/>
        </w:rPr>
      </w:pPr>
      <w:bookmarkStart w:id="47" w:name="_Hlk172729837"/>
      <w:r>
        <w:rPr>
          <w:rFonts w:hint="eastAsia" w:ascii="宋体" w:hAnsi="宋体" w:eastAsia="宋体" w:cs="宋体"/>
          <w:color w:val="auto"/>
          <w:sz w:val="24"/>
          <w:highlight w:val="none"/>
        </w:rPr>
        <w:t>9.1.1业务监督</w:t>
      </w:r>
    </w:p>
    <w:p w14:paraId="10DBE524">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监督范围：关于招标\采购流程违规投诉</w:t>
      </w:r>
    </w:p>
    <w:p w14:paraId="55EC3C5B">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中粮生物科技股份有限公司安徽生化管理公司</w:t>
      </w:r>
    </w:p>
    <w:p w14:paraId="6326A6E7">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电话：18160803228</w:t>
      </w:r>
    </w:p>
    <w:p w14:paraId="3712BC2B">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电子邮箱：liugaochao@cofco.com</w:t>
      </w:r>
    </w:p>
    <w:p w14:paraId="236034CB">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9.1.2信访举报</w:t>
      </w:r>
    </w:p>
    <w:p w14:paraId="1876B350">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举报范围：招投标活动过程中涉嫌贪污贿赂、滥用职权、玩忽职守、权力寻租、利益输送、徇私舞弊以及浪费国家资财等问题的检举控告。</w:t>
      </w:r>
    </w:p>
    <w:bookmarkEnd w:id="47"/>
    <w:p w14:paraId="69C27A00">
      <w:pPr>
        <w:spacing w:line="360" w:lineRule="auto"/>
        <w:ind w:firstLine="42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信访举报电话</w:t>
      </w:r>
      <w:r>
        <w:rPr>
          <w:rFonts w:hint="eastAsia" w:ascii="宋体" w:hAnsi="宋体" w:eastAsia="宋体" w:cs="宋体"/>
          <w:color w:val="auto"/>
          <w:sz w:val="24"/>
          <w:highlight w:val="none"/>
          <w:lang w:eastAsia="zh-CN"/>
        </w:rPr>
        <w:t>：</w:t>
      </w:r>
    </w:p>
    <w:p w14:paraId="00B0C262">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联系人：高岩蕊</w:t>
      </w:r>
    </w:p>
    <w:p w14:paraId="7517BBDC">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联系电话：010-65047895</w:t>
      </w:r>
    </w:p>
    <w:p w14:paraId="796FB2AE">
      <w:pPr>
        <w:spacing w:line="360" w:lineRule="auto"/>
        <w:ind w:firstLine="241" w:firstLineChars="100"/>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9.2采购人：中粮集团有限公司（授权中粮生物科技股份有限公司牵头）</w:t>
      </w:r>
    </w:p>
    <w:p w14:paraId="30DF4747">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地址：吉林省长春市经济技术开发区仙台大街1717号</w:t>
      </w:r>
    </w:p>
    <w:p w14:paraId="28CAFF56">
      <w:pPr>
        <w:spacing w:line="360" w:lineRule="auto"/>
        <w:ind w:firstLine="480" w:firstLineChars="20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rPr>
        <w:t>业务联系人：</w:t>
      </w:r>
      <w:r>
        <w:rPr>
          <w:rFonts w:hint="eastAsia" w:ascii="宋体" w:hAnsi="宋体" w:eastAsia="宋体" w:cs="宋体"/>
          <w:color w:val="auto"/>
          <w:sz w:val="24"/>
          <w:highlight w:val="none"/>
          <w:lang w:val="en-US" w:eastAsia="zh-CN"/>
        </w:rPr>
        <w:t>李明峰、张双</w:t>
      </w:r>
    </w:p>
    <w:p w14:paraId="355D2A5B">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联系电话：</w:t>
      </w:r>
      <w:r>
        <w:rPr>
          <w:rFonts w:hint="eastAsia" w:ascii="宋体" w:hAnsi="宋体" w:eastAsia="宋体" w:cs="宋体"/>
          <w:color w:val="auto"/>
          <w:sz w:val="24"/>
          <w:highlight w:val="none"/>
          <w:lang w:val="en-US" w:eastAsia="zh-CN"/>
        </w:rPr>
        <w:t>18088683621（李）、13045238969（张）</w:t>
      </w:r>
    </w:p>
    <w:p w14:paraId="49D8EC6C">
      <w:pPr>
        <w:spacing w:line="360" w:lineRule="auto"/>
        <w:ind w:firstLine="241" w:firstLineChars="100"/>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9.3采购代理机构信息：</w:t>
      </w:r>
    </w:p>
    <w:p w14:paraId="05F8581E">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代理机构：安徽省招标集团股份有限公司</w:t>
      </w:r>
    </w:p>
    <w:p w14:paraId="748ED240">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地址：</w:t>
      </w:r>
      <w:r>
        <w:rPr>
          <w:rFonts w:hint="eastAsia" w:ascii="宋体" w:hAnsi="宋体" w:eastAsia="宋体" w:cs="宋体"/>
          <w:color w:val="auto"/>
          <w:kern w:val="0"/>
          <w:sz w:val="24"/>
          <w:highlight w:val="none"/>
        </w:rPr>
        <w:t>安徽省合肥市包河区紫云路888号</w:t>
      </w:r>
    </w:p>
    <w:p w14:paraId="2D99344D">
      <w:pPr>
        <w:spacing w:line="360" w:lineRule="auto"/>
        <w:ind w:firstLine="42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联系人：</w:t>
      </w:r>
      <w:r>
        <w:rPr>
          <w:rFonts w:hint="eastAsia" w:ascii="宋体" w:hAnsi="宋体" w:eastAsia="宋体" w:cs="宋体"/>
          <w:color w:val="auto"/>
          <w:sz w:val="24"/>
          <w:highlight w:val="none"/>
          <w:lang w:val="en-US" w:eastAsia="zh-CN"/>
        </w:rPr>
        <w:t>丁旭、林威、</w:t>
      </w:r>
      <w:r>
        <w:rPr>
          <w:rFonts w:hint="eastAsia" w:ascii="宋体" w:hAnsi="宋体" w:eastAsia="宋体" w:cs="宋体"/>
          <w:sz w:val="24"/>
          <w:szCs w:val="24"/>
          <w:highlight w:val="none"/>
        </w:rPr>
        <w:t>夏秋胜</w:t>
      </w:r>
      <w:r>
        <w:rPr>
          <w:rFonts w:hint="eastAsia" w:ascii="宋体" w:hAnsi="宋体" w:eastAsia="宋体" w:cs="宋体"/>
          <w:sz w:val="24"/>
          <w:szCs w:val="24"/>
          <w:highlight w:val="none"/>
          <w:lang w:eastAsia="zh-CN"/>
        </w:rPr>
        <w:t>、</w:t>
      </w:r>
      <w:r>
        <w:rPr>
          <w:rFonts w:hint="eastAsia" w:ascii="宋体" w:hAnsi="宋体" w:eastAsia="宋体" w:cs="宋体"/>
          <w:color w:val="auto"/>
          <w:sz w:val="24"/>
          <w:highlight w:val="none"/>
          <w:lang w:val="en-US" w:eastAsia="zh-CN"/>
        </w:rPr>
        <w:t>郭焓桢、</w:t>
      </w:r>
      <w:r>
        <w:rPr>
          <w:rFonts w:hint="eastAsia" w:ascii="宋体" w:hAnsi="宋体" w:eastAsia="宋体" w:cs="宋体"/>
          <w:sz w:val="24"/>
          <w:szCs w:val="24"/>
          <w:highlight w:val="none"/>
        </w:rPr>
        <w:t>时创伟</w:t>
      </w:r>
      <w:r>
        <w:rPr>
          <w:rFonts w:hint="eastAsia" w:ascii="宋体" w:hAnsi="宋体" w:eastAsia="宋体" w:cs="宋体"/>
          <w:sz w:val="24"/>
          <w:szCs w:val="24"/>
          <w:highlight w:val="none"/>
          <w:lang w:eastAsia="zh-CN"/>
        </w:rPr>
        <w:t>、</w:t>
      </w:r>
      <w:r>
        <w:rPr>
          <w:rFonts w:hint="eastAsia" w:ascii="宋体" w:hAnsi="宋体" w:eastAsia="宋体" w:cs="宋体"/>
          <w:color w:val="auto"/>
          <w:sz w:val="24"/>
          <w:highlight w:val="none"/>
          <w:lang w:val="en-US" w:eastAsia="zh-CN"/>
        </w:rPr>
        <w:t>余青</w:t>
      </w:r>
    </w:p>
    <w:p w14:paraId="73CA519A">
      <w:pPr>
        <w:spacing w:line="360" w:lineRule="auto"/>
        <w:ind w:firstLine="42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固定电话：</w:t>
      </w:r>
      <w:r>
        <w:rPr>
          <w:rFonts w:hint="eastAsia" w:ascii="宋体" w:hAnsi="宋体" w:eastAsia="宋体" w:cs="宋体"/>
          <w:color w:val="auto"/>
          <w:sz w:val="24"/>
          <w:highlight w:val="none"/>
        </w:rPr>
        <w:t>0551-66061448</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0551-66061207</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0551-6606120</w:t>
      </w:r>
      <w:r>
        <w:rPr>
          <w:rFonts w:hint="eastAsia" w:ascii="宋体" w:hAnsi="宋体" w:eastAsia="宋体" w:cs="宋体"/>
          <w:color w:val="auto"/>
          <w:sz w:val="24"/>
          <w:highlight w:val="none"/>
          <w:lang w:val="en-US" w:eastAsia="zh-CN"/>
        </w:rPr>
        <w:t>9</w:t>
      </w:r>
    </w:p>
    <w:p w14:paraId="1F6F7897">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移动</w:t>
      </w:r>
      <w:r>
        <w:rPr>
          <w:rFonts w:hint="eastAsia" w:ascii="宋体" w:hAnsi="宋体" w:eastAsia="宋体" w:cs="宋体"/>
          <w:color w:val="auto"/>
          <w:sz w:val="24"/>
          <w:highlight w:val="none"/>
        </w:rPr>
        <w:t>电话：13072206327（丁）、15302378595（</w:t>
      </w:r>
      <w:r>
        <w:rPr>
          <w:rFonts w:hint="eastAsia" w:ascii="宋体" w:hAnsi="宋体" w:eastAsia="宋体" w:cs="宋体"/>
          <w:color w:val="auto"/>
          <w:sz w:val="24"/>
          <w:highlight w:val="none"/>
          <w:lang w:val="en-US" w:eastAsia="zh-CN"/>
        </w:rPr>
        <w:t>夏</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19959596365</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郭）</w:t>
      </w:r>
      <w:r>
        <w:rPr>
          <w:rFonts w:hint="eastAsia" w:ascii="宋体" w:hAnsi="宋体" w:eastAsia="宋体" w:cs="宋体"/>
          <w:color w:val="auto"/>
          <w:sz w:val="24"/>
          <w:highlight w:val="none"/>
          <w:lang w:eastAsia="zh-CN"/>
        </w:rPr>
        <w:t>、15255914620（时）、</w:t>
      </w:r>
      <w:r>
        <w:rPr>
          <w:rFonts w:hint="eastAsia" w:ascii="宋体" w:hAnsi="宋体" w:eastAsia="宋体" w:cs="宋体"/>
          <w:color w:val="auto"/>
          <w:sz w:val="24"/>
          <w:highlight w:val="none"/>
        </w:rPr>
        <w:t>18134672009（</w:t>
      </w:r>
      <w:r>
        <w:rPr>
          <w:rFonts w:hint="eastAsia" w:ascii="宋体" w:hAnsi="宋体" w:eastAsia="宋体" w:cs="宋体"/>
          <w:color w:val="auto"/>
          <w:sz w:val="24"/>
          <w:highlight w:val="none"/>
          <w:lang w:val="en-US" w:eastAsia="zh-CN"/>
        </w:rPr>
        <w:t>林</w:t>
      </w:r>
      <w:r>
        <w:rPr>
          <w:rFonts w:hint="eastAsia" w:ascii="宋体" w:hAnsi="宋体" w:eastAsia="宋体" w:cs="宋体"/>
          <w:color w:val="auto"/>
          <w:sz w:val="24"/>
          <w:highlight w:val="none"/>
        </w:rPr>
        <w:t>）、13003090993（余）</w:t>
      </w:r>
    </w:p>
    <w:p w14:paraId="3918E20B">
      <w:pPr>
        <w:spacing w:line="360" w:lineRule="auto"/>
        <w:ind w:firstLine="42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电子邮箱：ahzbbj03@ah-inter.com</w:t>
      </w:r>
    </w:p>
    <w:p w14:paraId="139CFA30">
      <w:pPr>
        <w:spacing w:line="360" w:lineRule="auto"/>
        <w:ind w:firstLine="241" w:firstLineChars="100"/>
        <w:rPr>
          <w:rFonts w:hint="eastAsia" w:ascii="宋体" w:hAnsi="宋体" w:eastAsia="宋体" w:cs="宋体"/>
          <w:color w:val="auto"/>
          <w:sz w:val="24"/>
          <w:highlight w:val="none"/>
        </w:rPr>
      </w:pPr>
      <w:r>
        <w:rPr>
          <w:rFonts w:hint="eastAsia" w:ascii="宋体" w:hAnsi="宋体" w:eastAsia="宋体" w:cs="宋体"/>
          <w:b/>
          <w:bCs/>
          <w:color w:val="auto"/>
          <w:sz w:val="24"/>
          <w:szCs w:val="21"/>
          <w:highlight w:val="none"/>
        </w:rPr>
        <w:t>9.4中粮 E 采供应链采购平台：</w:t>
      </w:r>
    </w:p>
    <w:p w14:paraId="63961E4F">
      <w:pPr>
        <w:spacing w:line="360" w:lineRule="auto"/>
        <w:ind w:firstLine="420"/>
        <w:rPr>
          <w:rFonts w:hint="eastAsia" w:ascii="宋体" w:hAnsi="宋体" w:eastAsia="宋体" w:cs="宋体"/>
          <w:color w:val="auto"/>
          <w:sz w:val="24"/>
          <w:highlight w:val="none"/>
          <w:vertAlign w:val="baseline"/>
          <w:lang w:val="en-US" w:eastAsia="zh-CN"/>
        </w:rPr>
      </w:pPr>
      <w:r>
        <w:rPr>
          <w:rFonts w:hint="eastAsia" w:ascii="宋体" w:hAnsi="宋体" w:eastAsia="宋体" w:cs="宋体"/>
          <w:color w:val="auto"/>
          <w:sz w:val="24"/>
          <w:highlight w:val="none"/>
        </w:rPr>
        <w:t>客服联系电话：</w:t>
      </w:r>
      <w:r>
        <w:rPr>
          <w:rFonts w:hint="eastAsia" w:ascii="宋体" w:hAnsi="宋体" w:eastAsia="宋体" w:cs="宋体"/>
          <w:color w:val="auto"/>
          <w:sz w:val="24"/>
          <w:highlight w:val="none"/>
          <w:lang w:val="en-US" w:eastAsia="zh-CN"/>
        </w:rPr>
        <w:t>020-28186098</w:t>
      </w:r>
    </w:p>
    <w:tbl>
      <w:tblPr>
        <w:tblStyle w:val="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952"/>
        <w:gridCol w:w="2952"/>
      </w:tblGrid>
      <w:tr w14:paraId="22349C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952" w:type="dxa"/>
            <w:noWrap w:val="0"/>
            <w:vAlign w:val="center"/>
          </w:tcPr>
          <w:p w14:paraId="202380C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highlight w:val="none"/>
                <w:vertAlign w:val="baseline"/>
                <w:lang w:val="en-US" w:eastAsia="zh-CN"/>
              </w:rPr>
            </w:pPr>
            <w:r>
              <w:rPr>
                <w:rFonts w:hint="eastAsia" w:ascii="宋体" w:hAnsi="宋体" w:eastAsia="宋体" w:cs="宋体"/>
                <w:color w:val="auto"/>
                <w:sz w:val="24"/>
                <w:highlight w:val="none"/>
                <w:lang w:val="en-US" w:eastAsia="zh-CN"/>
              </w:rPr>
              <w:t>微信公众号：</w:t>
            </w:r>
          </w:p>
        </w:tc>
        <w:tc>
          <w:tcPr>
            <w:tcW w:w="2952" w:type="dxa"/>
            <w:noWrap w:val="0"/>
            <w:vAlign w:val="center"/>
          </w:tcPr>
          <w:p w14:paraId="14EEADB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highlight w:val="none"/>
                <w:vertAlign w:val="baseline"/>
                <w:lang w:val="en-US" w:eastAsia="zh-CN"/>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INCLUDEPICTURE \d "D:\\企业微信\\WXWork\\1688855140353752\\Cache\\Image\\2026-02\\4e613ebf86cfef3a01b66ce6b9909303.jpg" \* MERGEFORMATINET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drawing>
                <wp:inline distT="0" distB="0" distL="114300" distR="114300">
                  <wp:extent cx="963930" cy="963930"/>
                  <wp:effectExtent l="0" t="0" r="1270" b="1270"/>
                  <wp:docPr id="4"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IMG_256"/>
                          <pic:cNvPicPr>
                            <a:picLocks noChangeAspect="1"/>
                          </pic:cNvPicPr>
                        </pic:nvPicPr>
                        <pic:blipFill>
                          <a:blip r:embed="rId4"/>
                          <a:stretch>
                            <a:fillRect/>
                          </a:stretch>
                        </pic:blipFill>
                        <pic:spPr>
                          <a:xfrm>
                            <a:off x="0" y="0"/>
                            <a:ext cx="963930" cy="963930"/>
                          </a:xfrm>
                          <a:prstGeom prst="rect">
                            <a:avLst/>
                          </a:prstGeom>
                          <a:noFill/>
                          <a:ln>
                            <a:noFill/>
                          </a:ln>
                        </pic:spPr>
                      </pic:pic>
                    </a:graphicData>
                  </a:graphic>
                </wp:inline>
              </w:drawing>
            </w:r>
            <w:r>
              <w:rPr>
                <w:rFonts w:hint="eastAsia" w:ascii="宋体" w:hAnsi="宋体" w:eastAsia="宋体" w:cs="宋体"/>
                <w:sz w:val="24"/>
                <w:szCs w:val="24"/>
                <w:highlight w:val="none"/>
              </w:rPr>
              <w:fldChar w:fldCharType="end"/>
            </w:r>
          </w:p>
        </w:tc>
      </w:tr>
    </w:tbl>
    <w:p w14:paraId="70111D7E">
      <w:pPr>
        <w:spacing w:line="360" w:lineRule="auto"/>
        <w:ind w:firstLine="42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(注：供应商可及时扫码关注“中粮E采”公众号，此公众号会发布本次“2026年中粮汽运集采项目”的辅助性提醒通知；具体要求仍以“中粮E采供应链采购平台”网站发布为准）</w:t>
      </w:r>
    </w:p>
    <w:p w14:paraId="3321865E">
      <w:pPr>
        <w:spacing w:line="360" w:lineRule="auto"/>
        <w:ind w:firstLine="420"/>
        <w:rPr>
          <w:rFonts w:hint="eastAsia" w:ascii="宋体" w:hAnsi="宋体" w:eastAsia="宋体" w:cs="宋体"/>
          <w:color w:val="auto"/>
          <w:sz w:val="24"/>
          <w:highlight w:val="none"/>
          <w:lang w:val="en-US" w:eastAsia="zh-CN"/>
        </w:rPr>
      </w:pPr>
    </w:p>
    <w:bookmarkEnd w:id="1"/>
    <w:p w14:paraId="60B3DAB4">
      <w:pPr>
        <w:snapToGrid w:val="0"/>
        <w:spacing w:line="360" w:lineRule="auto"/>
        <w:ind w:firstLine="482"/>
        <w:jc w:val="center"/>
        <w:rPr>
          <w:rFonts w:hint="eastAsia" w:ascii="宋体" w:hAnsi="宋体" w:eastAsia="宋体" w:cs="宋体"/>
          <w:b/>
          <w:bCs/>
          <w:snapToGrid w:val="0"/>
          <w:color w:val="auto"/>
          <w:kern w:val="0"/>
          <w:sz w:val="24"/>
          <w:szCs w:val="24"/>
          <w:highlight w:val="none"/>
          <w:lang w:bidi="en-US"/>
        </w:rPr>
      </w:pPr>
      <w:r>
        <w:rPr>
          <w:rFonts w:hint="eastAsia" w:ascii="宋体" w:hAnsi="宋体" w:eastAsia="宋体" w:cs="宋体"/>
          <w:color w:val="auto"/>
          <w:highlight w:val="none"/>
        </w:rPr>
        <w:br w:type="page"/>
      </w:r>
      <w:r>
        <w:rPr>
          <w:rFonts w:hint="eastAsia" w:ascii="宋体" w:hAnsi="宋体" w:eastAsia="宋体" w:cs="宋体"/>
          <w:b/>
          <w:bCs/>
          <w:snapToGrid w:val="0"/>
          <w:color w:val="auto"/>
          <w:kern w:val="0"/>
          <w:sz w:val="24"/>
          <w:szCs w:val="24"/>
          <w:highlight w:val="none"/>
          <w:lang w:bidi="en-US"/>
        </w:rPr>
        <w:t>供应商资格提交审查资料要求</w:t>
      </w:r>
    </w:p>
    <w:p w14:paraId="0650E797">
      <w:pPr>
        <w:snapToGrid w:val="0"/>
        <w:spacing w:line="360" w:lineRule="auto"/>
        <w:rPr>
          <w:rFonts w:hint="eastAsia" w:ascii="宋体" w:hAnsi="宋体" w:eastAsia="宋体" w:cs="宋体"/>
          <w:b/>
          <w:bCs/>
          <w:snapToGrid w:val="0"/>
          <w:color w:val="auto"/>
          <w:kern w:val="0"/>
          <w:sz w:val="24"/>
          <w:highlight w:val="none"/>
          <w:lang w:bidi="en-US"/>
        </w:rPr>
      </w:pPr>
      <w:r>
        <w:rPr>
          <w:rFonts w:hint="eastAsia" w:ascii="宋体" w:hAnsi="宋体" w:eastAsia="宋体" w:cs="宋体"/>
          <w:b/>
          <w:bCs/>
          <w:snapToGrid w:val="0"/>
          <w:color w:val="auto"/>
          <w:kern w:val="0"/>
          <w:sz w:val="24"/>
          <w:highlight w:val="none"/>
          <w:lang w:bidi="en-US"/>
        </w:rPr>
        <w:t>附件1资质要求</w:t>
      </w:r>
    </w:p>
    <w:p w14:paraId="246D6F5F">
      <w:pPr>
        <w:snapToGrid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1.有效的营业执照复印件或影印件，并加盖单位公章</w:t>
      </w:r>
      <w:r>
        <w:rPr>
          <w:rFonts w:hint="eastAsia" w:ascii="宋体" w:hAnsi="宋体" w:eastAsia="宋体" w:cs="宋体"/>
          <w:color w:val="auto"/>
          <w:sz w:val="24"/>
          <w:szCs w:val="24"/>
          <w:highlight w:val="none"/>
          <w:lang w:eastAsia="zh-CN"/>
        </w:rPr>
        <w:t>。</w:t>
      </w:r>
    </w:p>
    <w:p w14:paraId="376361FB">
      <w:pPr>
        <w:spacing w:line="360" w:lineRule="auto"/>
        <w:rPr>
          <w:rFonts w:hint="eastAsia" w:ascii="宋体" w:hAnsi="宋体" w:eastAsia="宋体" w:cs="宋体"/>
          <w:color w:val="auto"/>
          <w:sz w:val="24"/>
          <w:szCs w:val="24"/>
          <w:highlight w:val="none"/>
        </w:rPr>
      </w:pPr>
    </w:p>
    <w:p w14:paraId="450BAB37">
      <w:pPr>
        <w:snapToGrid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2.有效的道路运输经营许可证；（提供相关证件扫描件）</w:t>
      </w:r>
      <w:r>
        <w:rPr>
          <w:rFonts w:hint="eastAsia" w:ascii="宋体" w:hAnsi="宋体" w:eastAsia="宋体" w:cs="宋体"/>
          <w:color w:val="auto"/>
          <w:sz w:val="24"/>
          <w:szCs w:val="24"/>
          <w:highlight w:val="none"/>
          <w:lang w:eastAsia="zh-CN"/>
        </w:rPr>
        <w:t>。</w:t>
      </w:r>
    </w:p>
    <w:p w14:paraId="499B2293">
      <w:pPr>
        <w:spacing w:line="360" w:lineRule="auto"/>
        <w:rPr>
          <w:rFonts w:hint="eastAsia" w:ascii="宋体" w:hAnsi="宋体" w:eastAsia="宋体" w:cs="宋体"/>
          <w:color w:val="auto"/>
          <w:sz w:val="24"/>
          <w:szCs w:val="24"/>
          <w:highlight w:val="none"/>
        </w:rPr>
      </w:pPr>
    </w:p>
    <w:p w14:paraId="43F10033">
      <w:pPr>
        <w:snapToGrid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3.具有一般纳税人证明，可以开具增值税专用发票，发票税率要求为9%</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证明材料要求：供应商须提供有效期内的一般纳税人资格证明，或提供近一个月内开具与本项目</w:t>
      </w:r>
      <w:r>
        <w:rPr>
          <w:rFonts w:hint="eastAsia" w:ascii="宋体" w:hAnsi="宋体" w:eastAsia="宋体" w:cs="宋体"/>
          <w:color w:val="auto"/>
          <w:sz w:val="24"/>
          <w:szCs w:val="24"/>
          <w:highlight w:val="none"/>
          <w:lang w:val="en-US" w:eastAsia="zh-CN"/>
        </w:rPr>
        <w:t>相同</w:t>
      </w:r>
      <w:r>
        <w:rPr>
          <w:rFonts w:hint="eastAsia" w:ascii="宋体" w:hAnsi="宋体" w:eastAsia="宋体" w:cs="宋体"/>
          <w:color w:val="auto"/>
          <w:sz w:val="24"/>
          <w:szCs w:val="24"/>
          <w:highlight w:val="none"/>
        </w:rPr>
        <w:t>税率</w:t>
      </w:r>
      <w:r>
        <w:rPr>
          <w:rFonts w:hint="eastAsia" w:ascii="宋体" w:hAnsi="宋体" w:eastAsia="宋体" w:cs="宋体"/>
          <w:color w:val="auto"/>
          <w:sz w:val="24"/>
          <w:szCs w:val="24"/>
          <w:highlight w:val="none"/>
          <w:lang w:val="en-US" w:eastAsia="zh-CN"/>
        </w:rPr>
        <w:t>要求的</w:t>
      </w:r>
      <w:r>
        <w:rPr>
          <w:rFonts w:hint="eastAsia" w:ascii="宋体" w:hAnsi="宋体" w:eastAsia="宋体" w:cs="宋体"/>
          <w:color w:val="auto"/>
          <w:sz w:val="24"/>
          <w:szCs w:val="24"/>
          <w:highlight w:val="none"/>
        </w:rPr>
        <w:t>增值税专用发票复印件（</w:t>
      </w:r>
      <w:r>
        <w:rPr>
          <w:rFonts w:hint="eastAsia" w:ascii="宋体" w:hAnsi="宋体" w:eastAsia="宋体" w:cs="宋体"/>
          <w:color w:val="auto"/>
          <w:sz w:val="24"/>
          <w:szCs w:val="24"/>
          <w:highlight w:val="none"/>
          <w:lang w:val="en-US" w:eastAsia="zh-CN"/>
        </w:rPr>
        <w:t>发票须真实有效，优先提供</w:t>
      </w:r>
      <w:r>
        <w:rPr>
          <w:rFonts w:hint="eastAsia" w:ascii="宋体" w:hAnsi="宋体" w:eastAsia="宋体" w:cs="宋体"/>
          <w:color w:val="auto"/>
          <w:sz w:val="24"/>
          <w:szCs w:val="24"/>
          <w:highlight w:val="none"/>
        </w:rPr>
        <w:t>从税务系统下载</w:t>
      </w:r>
      <w:r>
        <w:rPr>
          <w:rFonts w:hint="eastAsia" w:ascii="宋体" w:hAnsi="宋体" w:eastAsia="宋体" w:cs="宋体"/>
          <w:color w:val="auto"/>
          <w:sz w:val="24"/>
          <w:szCs w:val="24"/>
          <w:highlight w:val="none"/>
          <w:lang w:val="en-US" w:eastAsia="zh-CN"/>
        </w:rPr>
        <w:t>的版本，提供</w:t>
      </w:r>
      <w:r>
        <w:rPr>
          <w:rFonts w:hint="eastAsia" w:ascii="宋体" w:hAnsi="宋体" w:eastAsia="宋体" w:cs="宋体"/>
          <w:color w:val="auto"/>
          <w:sz w:val="24"/>
          <w:szCs w:val="24"/>
          <w:highlight w:val="none"/>
        </w:rPr>
        <w:t>纸质发票</w:t>
      </w:r>
      <w:r>
        <w:rPr>
          <w:rFonts w:hint="eastAsia" w:ascii="宋体" w:hAnsi="宋体" w:eastAsia="宋体" w:cs="宋体"/>
          <w:color w:val="auto"/>
          <w:sz w:val="24"/>
          <w:szCs w:val="24"/>
          <w:highlight w:val="none"/>
          <w:lang w:val="en-US" w:eastAsia="zh-CN"/>
        </w:rPr>
        <w:t>的要确保能检核通过）。</w:t>
      </w:r>
    </w:p>
    <w:p w14:paraId="728B99C6">
      <w:pPr>
        <w:snapToGrid w:val="0"/>
        <w:spacing w:line="360" w:lineRule="auto"/>
        <w:rPr>
          <w:rFonts w:hint="eastAsia" w:ascii="宋体" w:hAnsi="宋体" w:eastAsia="宋体" w:cs="宋体"/>
          <w:color w:val="auto"/>
          <w:sz w:val="24"/>
          <w:szCs w:val="24"/>
          <w:highlight w:val="none"/>
          <w:lang w:val="en-US" w:eastAsia="zh-CN"/>
        </w:rPr>
      </w:pPr>
    </w:p>
    <w:p w14:paraId="2BB88FAA">
      <w:pPr>
        <w:snapToGrid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4.供应商须购买全年货物运输保险，保额不得低于200万元；也可以每台车分别购买货物运输险（年度）累计达到200万元；（提供相关保险证明材料）。（注：单次运输的货物运输保险不计入）（</w:t>
      </w:r>
      <w:r>
        <w:rPr>
          <w:rFonts w:hint="eastAsia" w:ascii="宋体" w:hAnsi="宋体" w:eastAsia="宋体" w:cs="宋体"/>
          <w:bCs/>
          <w:snapToGrid w:val="0"/>
          <w:color w:val="auto"/>
          <w:kern w:val="0"/>
          <w:sz w:val="24"/>
          <w:szCs w:val="24"/>
          <w:highlight w:val="none"/>
          <w:lang w:val="en-US" w:eastAsia="zh-CN"/>
        </w:rPr>
        <w:t>格式自拟）</w:t>
      </w:r>
    </w:p>
    <w:p w14:paraId="4BDB2DA0">
      <w:pPr>
        <w:rPr>
          <w:rFonts w:hint="eastAsia" w:ascii="宋体" w:hAnsi="宋体" w:eastAsia="宋体" w:cs="宋体"/>
          <w:color w:val="auto"/>
          <w:sz w:val="24"/>
          <w:szCs w:val="24"/>
          <w:highlight w:val="none"/>
          <w:lang w:val="en-US" w:eastAsia="zh-CN"/>
        </w:rPr>
      </w:pPr>
      <w:r>
        <w:rPr>
          <w:rFonts w:hint="eastAsia" w:ascii="宋体" w:hAnsi="宋体" w:eastAsia="宋体" w:cs="宋体"/>
          <w:b/>
          <w:bCs/>
          <w:snapToGrid w:val="0"/>
          <w:color w:val="auto"/>
          <w:kern w:val="0"/>
          <w:sz w:val="24"/>
          <w:highlight w:val="none"/>
          <w:lang w:bidi="en-US"/>
        </w:rPr>
        <w:br w:type="page"/>
      </w:r>
      <w:r>
        <w:rPr>
          <w:rFonts w:hint="eastAsia" w:ascii="宋体" w:hAnsi="宋体" w:eastAsia="宋体" w:cs="宋体"/>
          <w:b/>
          <w:bCs/>
          <w:snapToGrid w:val="0"/>
          <w:color w:val="auto"/>
          <w:kern w:val="0"/>
          <w:sz w:val="24"/>
          <w:highlight w:val="none"/>
          <w:lang w:bidi="en-US"/>
        </w:rPr>
        <w:t>附件</w:t>
      </w:r>
      <w:r>
        <w:rPr>
          <w:rFonts w:hint="eastAsia" w:ascii="宋体" w:hAnsi="宋体" w:eastAsia="宋体" w:cs="宋体"/>
          <w:b/>
          <w:bCs/>
          <w:snapToGrid w:val="0"/>
          <w:color w:val="auto"/>
          <w:kern w:val="0"/>
          <w:sz w:val="24"/>
          <w:highlight w:val="none"/>
          <w:lang w:val="en-US" w:eastAsia="zh-CN" w:bidi="en-US"/>
        </w:rPr>
        <w:t>2</w:t>
      </w:r>
      <w:r>
        <w:rPr>
          <w:rFonts w:hint="eastAsia" w:ascii="宋体" w:hAnsi="宋体" w:eastAsia="宋体" w:cs="宋体"/>
          <w:b/>
          <w:bCs/>
          <w:color w:val="auto"/>
          <w:sz w:val="24"/>
          <w:szCs w:val="24"/>
          <w:highlight w:val="none"/>
        </w:rPr>
        <w:t>财务要求</w:t>
      </w:r>
    </w:p>
    <w:p w14:paraId="7922DEA6">
      <w:pPr>
        <w:snapToGrid w:val="0"/>
        <w:spacing w:line="360" w:lineRule="auto"/>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eastAsia="zh-CN"/>
        </w:rPr>
        <w:t>1.近三年财务状况统计表：</w:t>
      </w:r>
    </w:p>
    <w:p w14:paraId="6ADEA5A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kern w:val="0"/>
          <w:sz w:val="20"/>
          <w:szCs w:val="20"/>
          <w:highlight w:val="none"/>
          <w:lang w:eastAsia="zh-CN"/>
        </w:rPr>
      </w:pPr>
      <w:r>
        <w:rPr>
          <w:rFonts w:hint="eastAsia" w:ascii="宋体" w:hAnsi="宋体" w:eastAsia="宋体" w:cs="宋体"/>
          <w:b/>
          <w:color w:val="auto"/>
          <w:sz w:val="24"/>
          <w:szCs w:val="21"/>
          <w:highlight w:val="none"/>
          <w:lang w:val="en-US" w:eastAsia="zh-CN"/>
        </w:rPr>
        <w:t>近三年</w:t>
      </w:r>
      <w:r>
        <w:rPr>
          <w:rFonts w:hint="eastAsia" w:ascii="宋体" w:hAnsi="宋体" w:eastAsia="宋体" w:cs="宋体"/>
          <w:b/>
          <w:color w:val="auto"/>
          <w:sz w:val="24"/>
          <w:szCs w:val="21"/>
          <w:highlight w:val="none"/>
        </w:rPr>
        <w:t>财务状况表</w:t>
      </w:r>
      <w:r>
        <w:rPr>
          <w:rFonts w:hint="eastAsia" w:ascii="宋体" w:hAnsi="宋体" w:eastAsia="宋体" w:cs="宋体"/>
          <w:b/>
          <w:color w:val="auto"/>
          <w:sz w:val="24"/>
          <w:szCs w:val="21"/>
          <w:highlight w:val="none"/>
          <w:lang w:eastAsia="zh-CN"/>
        </w:rPr>
        <w:t>（</w:t>
      </w:r>
      <w:r>
        <w:rPr>
          <w:rFonts w:hint="eastAsia" w:ascii="宋体" w:hAnsi="宋体" w:eastAsia="宋体" w:cs="宋体"/>
          <w:b/>
          <w:color w:val="auto"/>
          <w:sz w:val="24"/>
          <w:szCs w:val="21"/>
          <w:highlight w:val="none"/>
          <w:lang w:val="en-US" w:eastAsia="zh-CN"/>
        </w:rPr>
        <w:t>填写完整</w:t>
      </w:r>
      <w:r>
        <w:rPr>
          <w:rFonts w:hint="eastAsia" w:ascii="宋体" w:hAnsi="宋体" w:eastAsia="宋体" w:cs="宋体"/>
          <w:b/>
          <w:color w:val="auto"/>
          <w:sz w:val="24"/>
          <w:szCs w:val="21"/>
          <w:highlight w:val="none"/>
          <w:lang w:eastAsia="zh-CN"/>
        </w:rPr>
        <w:t>）</w:t>
      </w:r>
    </w:p>
    <w:tbl>
      <w:tblPr>
        <w:tblStyle w:val="3"/>
        <w:tblW w:w="5000" w:type="pct"/>
        <w:jc w:val="center"/>
        <w:tblLayout w:type="autofit"/>
        <w:tblCellMar>
          <w:top w:w="0" w:type="dxa"/>
          <w:left w:w="57" w:type="dxa"/>
          <w:bottom w:w="0" w:type="dxa"/>
          <w:right w:w="57" w:type="dxa"/>
        </w:tblCellMar>
      </w:tblPr>
      <w:tblGrid>
        <w:gridCol w:w="2542"/>
        <w:gridCol w:w="1346"/>
        <w:gridCol w:w="1691"/>
        <w:gridCol w:w="1413"/>
        <w:gridCol w:w="1428"/>
      </w:tblGrid>
      <w:tr w14:paraId="75B7E522">
        <w:tblPrEx>
          <w:tblCellMar>
            <w:top w:w="0" w:type="dxa"/>
            <w:left w:w="57" w:type="dxa"/>
            <w:bottom w:w="0" w:type="dxa"/>
            <w:right w:w="57" w:type="dxa"/>
          </w:tblCellMar>
        </w:tblPrEx>
        <w:trPr>
          <w:trHeight w:val="403" w:hRule="exact"/>
          <w:tblHeader/>
          <w:jc w:val="center"/>
        </w:trPr>
        <w:tc>
          <w:tcPr>
            <w:tcW w:w="5000" w:type="pct"/>
            <w:gridSpan w:val="5"/>
            <w:tcBorders>
              <w:top w:val="single" w:color="000000" w:sz="6" w:space="0"/>
              <w:left w:val="single" w:color="000000" w:sz="6" w:space="0"/>
              <w:bottom w:val="single" w:color="000000" w:sz="6" w:space="0"/>
              <w:right w:val="single" w:color="000000" w:sz="6" w:space="0"/>
            </w:tcBorders>
            <w:noWrap w:val="0"/>
            <w:vAlign w:val="center"/>
          </w:tcPr>
          <w:p w14:paraId="6D319AD7">
            <w:pPr>
              <w:tabs>
                <w:tab w:val="left" w:pos="860"/>
              </w:tabs>
              <w:autoSpaceDE w:val="0"/>
              <w:autoSpaceDN w:val="0"/>
              <w:adjustRightInd w:val="0"/>
              <w:snapToGrid w:val="0"/>
              <w:jc w:val="left"/>
              <w:rPr>
                <w:rFonts w:hint="eastAsia" w:ascii="宋体" w:hAnsi="宋体" w:eastAsia="宋体" w:cs="宋体"/>
                <w:b/>
                <w:bCs/>
                <w:color w:val="auto"/>
                <w:kern w:val="0"/>
                <w:szCs w:val="21"/>
                <w:highlight w:val="none"/>
                <w:lang w:val="en-US" w:eastAsia="zh-CN"/>
              </w:rPr>
            </w:pPr>
            <w:r>
              <w:rPr>
                <w:rFonts w:hint="eastAsia" w:ascii="宋体" w:hAnsi="宋体" w:eastAsia="宋体" w:cs="宋体"/>
                <w:b/>
                <w:bCs/>
                <w:color w:val="auto"/>
                <w:kern w:val="0"/>
                <w:szCs w:val="21"/>
                <w:highlight w:val="none"/>
                <w:lang w:val="en-US" w:eastAsia="zh-CN"/>
              </w:rPr>
              <w:t>供应商名称：</w:t>
            </w:r>
          </w:p>
        </w:tc>
      </w:tr>
      <w:tr w14:paraId="4C7D7D28">
        <w:tblPrEx>
          <w:tblCellMar>
            <w:top w:w="0" w:type="dxa"/>
            <w:left w:w="57" w:type="dxa"/>
            <w:bottom w:w="0" w:type="dxa"/>
            <w:right w:w="57" w:type="dxa"/>
          </w:tblCellMar>
        </w:tblPrEx>
        <w:trPr>
          <w:trHeight w:val="502" w:hRule="exact"/>
          <w:tblHeader/>
          <w:jc w:val="center"/>
        </w:trPr>
        <w:tc>
          <w:tcPr>
            <w:tcW w:w="1510" w:type="pct"/>
            <w:tcBorders>
              <w:top w:val="single" w:color="000000" w:sz="6" w:space="0"/>
              <w:left w:val="single" w:color="000000" w:sz="6" w:space="0"/>
              <w:bottom w:val="single" w:color="000000" w:sz="6" w:space="0"/>
              <w:right w:val="single" w:color="000000" w:sz="6" w:space="0"/>
            </w:tcBorders>
            <w:noWrap w:val="0"/>
            <w:vAlign w:val="center"/>
          </w:tcPr>
          <w:p w14:paraId="7980DEAB">
            <w:pPr>
              <w:autoSpaceDE w:val="0"/>
              <w:autoSpaceDN w:val="0"/>
              <w:adjustRightInd w:val="0"/>
              <w:snapToGrid w:val="0"/>
              <w:jc w:val="center"/>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项目</w:t>
            </w:r>
            <w:r>
              <w:rPr>
                <w:rFonts w:hint="eastAsia" w:ascii="宋体" w:hAnsi="宋体" w:eastAsia="宋体" w:cs="宋体"/>
                <w:b/>
                <w:bCs/>
                <w:color w:val="auto"/>
                <w:spacing w:val="-2"/>
                <w:kern w:val="0"/>
                <w:szCs w:val="21"/>
                <w:highlight w:val="none"/>
              </w:rPr>
              <w:t>或</w:t>
            </w:r>
            <w:r>
              <w:rPr>
                <w:rFonts w:hint="eastAsia" w:ascii="宋体" w:hAnsi="宋体" w:eastAsia="宋体" w:cs="宋体"/>
                <w:b/>
                <w:bCs/>
                <w:color w:val="auto"/>
                <w:kern w:val="0"/>
                <w:szCs w:val="21"/>
                <w:highlight w:val="none"/>
              </w:rPr>
              <w:t>指标</w:t>
            </w:r>
          </w:p>
        </w:tc>
        <w:tc>
          <w:tcPr>
            <w:tcW w:w="799" w:type="pct"/>
            <w:tcBorders>
              <w:top w:val="single" w:color="000000" w:sz="6" w:space="0"/>
              <w:left w:val="single" w:color="000000" w:sz="6" w:space="0"/>
              <w:bottom w:val="single" w:color="000000" w:sz="6" w:space="0"/>
              <w:right w:val="single" w:color="000000" w:sz="6" w:space="0"/>
            </w:tcBorders>
            <w:noWrap w:val="0"/>
            <w:vAlign w:val="center"/>
          </w:tcPr>
          <w:p w14:paraId="628EDC27">
            <w:pPr>
              <w:autoSpaceDE w:val="0"/>
              <w:autoSpaceDN w:val="0"/>
              <w:adjustRightInd w:val="0"/>
              <w:snapToGrid w:val="0"/>
              <w:jc w:val="center"/>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单位</w:t>
            </w:r>
          </w:p>
        </w:tc>
        <w:tc>
          <w:tcPr>
            <w:tcW w:w="1004" w:type="pct"/>
            <w:tcBorders>
              <w:top w:val="single" w:color="000000" w:sz="6" w:space="0"/>
              <w:left w:val="single" w:color="000000" w:sz="6" w:space="0"/>
              <w:bottom w:val="single" w:color="000000" w:sz="6" w:space="0"/>
              <w:right w:val="single" w:color="000000" w:sz="6" w:space="0"/>
            </w:tcBorders>
            <w:noWrap w:val="0"/>
            <w:vAlign w:val="center"/>
          </w:tcPr>
          <w:p w14:paraId="3B196710">
            <w:pPr>
              <w:tabs>
                <w:tab w:val="left" w:pos="860"/>
              </w:tabs>
              <w:autoSpaceDE w:val="0"/>
              <w:autoSpaceDN w:val="0"/>
              <w:adjustRightInd w:val="0"/>
              <w:snapToGrid w:val="0"/>
              <w:jc w:val="center"/>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_____年</w:t>
            </w:r>
          </w:p>
        </w:tc>
        <w:tc>
          <w:tcPr>
            <w:tcW w:w="839" w:type="pct"/>
            <w:tcBorders>
              <w:top w:val="single" w:color="000000" w:sz="6" w:space="0"/>
              <w:left w:val="single" w:color="000000" w:sz="6" w:space="0"/>
              <w:bottom w:val="single" w:color="000000" w:sz="6" w:space="0"/>
              <w:right w:val="single" w:color="000000" w:sz="6" w:space="0"/>
            </w:tcBorders>
            <w:noWrap w:val="0"/>
            <w:vAlign w:val="center"/>
          </w:tcPr>
          <w:p w14:paraId="1A09759F">
            <w:pPr>
              <w:tabs>
                <w:tab w:val="left" w:pos="860"/>
              </w:tabs>
              <w:autoSpaceDE w:val="0"/>
              <w:autoSpaceDN w:val="0"/>
              <w:adjustRightInd w:val="0"/>
              <w:snapToGrid w:val="0"/>
              <w:jc w:val="center"/>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_____年</w:t>
            </w:r>
          </w:p>
        </w:tc>
        <w:tc>
          <w:tcPr>
            <w:tcW w:w="846" w:type="pct"/>
            <w:tcBorders>
              <w:top w:val="single" w:color="000000" w:sz="6" w:space="0"/>
              <w:left w:val="single" w:color="000000" w:sz="6" w:space="0"/>
              <w:bottom w:val="single" w:color="000000" w:sz="6" w:space="0"/>
              <w:right w:val="single" w:color="000000" w:sz="6" w:space="0"/>
            </w:tcBorders>
            <w:noWrap w:val="0"/>
            <w:vAlign w:val="center"/>
          </w:tcPr>
          <w:p w14:paraId="72BF140E">
            <w:pPr>
              <w:tabs>
                <w:tab w:val="left" w:pos="860"/>
              </w:tabs>
              <w:autoSpaceDE w:val="0"/>
              <w:autoSpaceDN w:val="0"/>
              <w:adjustRightInd w:val="0"/>
              <w:snapToGrid w:val="0"/>
              <w:jc w:val="center"/>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_____年</w:t>
            </w:r>
          </w:p>
        </w:tc>
      </w:tr>
      <w:tr w14:paraId="1E4E2605">
        <w:tblPrEx>
          <w:tblCellMar>
            <w:top w:w="0" w:type="dxa"/>
            <w:left w:w="57" w:type="dxa"/>
            <w:bottom w:w="0" w:type="dxa"/>
            <w:right w:w="57" w:type="dxa"/>
          </w:tblCellMar>
        </w:tblPrEx>
        <w:trPr>
          <w:trHeight w:val="576" w:hRule="exact"/>
          <w:jc w:val="center"/>
        </w:trPr>
        <w:tc>
          <w:tcPr>
            <w:tcW w:w="1510" w:type="pct"/>
            <w:tcBorders>
              <w:top w:val="single" w:color="000000" w:sz="6" w:space="0"/>
              <w:left w:val="single" w:color="000000" w:sz="6" w:space="0"/>
              <w:bottom w:val="single" w:color="000000" w:sz="6" w:space="0"/>
              <w:right w:val="single" w:color="000000" w:sz="6" w:space="0"/>
            </w:tcBorders>
            <w:noWrap w:val="0"/>
            <w:vAlign w:val="center"/>
          </w:tcPr>
          <w:p w14:paraId="4C4099B9">
            <w:pP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一、注</w:t>
            </w:r>
            <w:r>
              <w:rPr>
                <w:rFonts w:hint="eastAsia" w:ascii="宋体" w:hAnsi="宋体" w:eastAsia="宋体" w:cs="宋体"/>
                <w:color w:val="auto"/>
                <w:spacing w:val="-2"/>
                <w:kern w:val="0"/>
                <w:szCs w:val="21"/>
                <w:highlight w:val="none"/>
              </w:rPr>
              <w:t>册</w:t>
            </w:r>
            <w:r>
              <w:rPr>
                <w:rFonts w:hint="eastAsia" w:ascii="宋体" w:hAnsi="宋体" w:eastAsia="宋体" w:cs="宋体"/>
                <w:color w:val="auto"/>
                <w:kern w:val="0"/>
                <w:szCs w:val="21"/>
                <w:highlight w:val="none"/>
              </w:rPr>
              <w:t>资本</w:t>
            </w:r>
          </w:p>
        </w:tc>
        <w:tc>
          <w:tcPr>
            <w:tcW w:w="799" w:type="pct"/>
            <w:tcBorders>
              <w:top w:val="single" w:color="000000" w:sz="6" w:space="0"/>
              <w:left w:val="single" w:color="000000" w:sz="6" w:space="0"/>
              <w:bottom w:val="single" w:color="000000" w:sz="6" w:space="0"/>
              <w:right w:val="single" w:color="000000" w:sz="6" w:space="0"/>
            </w:tcBorders>
            <w:noWrap w:val="0"/>
            <w:vAlign w:val="center"/>
          </w:tcPr>
          <w:p w14:paraId="0F150648">
            <w:pP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万元</w:t>
            </w:r>
          </w:p>
        </w:tc>
        <w:tc>
          <w:tcPr>
            <w:tcW w:w="1004" w:type="pct"/>
            <w:tcBorders>
              <w:top w:val="single" w:color="000000" w:sz="6" w:space="0"/>
              <w:left w:val="single" w:color="000000" w:sz="6" w:space="0"/>
              <w:bottom w:val="single" w:color="000000" w:sz="6" w:space="0"/>
              <w:right w:val="single" w:color="000000" w:sz="6" w:space="0"/>
            </w:tcBorders>
            <w:noWrap w:val="0"/>
            <w:vAlign w:val="center"/>
          </w:tcPr>
          <w:p w14:paraId="5740FF1C">
            <w:pPr>
              <w:autoSpaceDE w:val="0"/>
              <w:autoSpaceDN w:val="0"/>
              <w:adjustRightInd w:val="0"/>
              <w:snapToGrid w:val="0"/>
              <w:jc w:val="center"/>
              <w:rPr>
                <w:rFonts w:hint="eastAsia" w:ascii="宋体" w:hAnsi="宋体" w:eastAsia="宋体" w:cs="宋体"/>
                <w:color w:val="auto"/>
                <w:kern w:val="0"/>
                <w:szCs w:val="21"/>
                <w:highlight w:val="none"/>
              </w:rPr>
            </w:pPr>
          </w:p>
        </w:tc>
        <w:tc>
          <w:tcPr>
            <w:tcW w:w="839" w:type="pct"/>
            <w:tcBorders>
              <w:top w:val="single" w:color="000000" w:sz="6" w:space="0"/>
              <w:left w:val="single" w:color="000000" w:sz="6" w:space="0"/>
              <w:bottom w:val="single" w:color="000000" w:sz="6" w:space="0"/>
              <w:right w:val="single" w:color="000000" w:sz="6" w:space="0"/>
            </w:tcBorders>
            <w:noWrap w:val="0"/>
            <w:vAlign w:val="center"/>
          </w:tcPr>
          <w:p w14:paraId="136435CE">
            <w:pPr>
              <w:autoSpaceDE w:val="0"/>
              <w:autoSpaceDN w:val="0"/>
              <w:adjustRightInd w:val="0"/>
              <w:snapToGrid w:val="0"/>
              <w:jc w:val="center"/>
              <w:rPr>
                <w:rFonts w:hint="eastAsia" w:ascii="宋体" w:hAnsi="宋体" w:eastAsia="宋体" w:cs="宋体"/>
                <w:color w:val="auto"/>
                <w:kern w:val="0"/>
                <w:szCs w:val="21"/>
                <w:highlight w:val="none"/>
              </w:rPr>
            </w:pPr>
          </w:p>
        </w:tc>
        <w:tc>
          <w:tcPr>
            <w:tcW w:w="846" w:type="pct"/>
            <w:tcBorders>
              <w:top w:val="single" w:color="000000" w:sz="6" w:space="0"/>
              <w:left w:val="single" w:color="000000" w:sz="6" w:space="0"/>
              <w:bottom w:val="single" w:color="000000" w:sz="6" w:space="0"/>
              <w:right w:val="single" w:color="000000" w:sz="6" w:space="0"/>
            </w:tcBorders>
            <w:noWrap w:val="0"/>
            <w:vAlign w:val="center"/>
          </w:tcPr>
          <w:p w14:paraId="362A6A9C">
            <w:pPr>
              <w:autoSpaceDE w:val="0"/>
              <w:autoSpaceDN w:val="0"/>
              <w:adjustRightInd w:val="0"/>
              <w:snapToGrid w:val="0"/>
              <w:jc w:val="center"/>
              <w:rPr>
                <w:rFonts w:hint="eastAsia" w:ascii="宋体" w:hAnsi="宋体" w:eastAsia="宋体" w:cs="宋体"/>
                <w:color w:val="auto"/>
                <w:kern w:val="0"/>
                <w:szCs w:val="21"/>
                <w:highlight w:val="none"/>
              </w:rPr>
            </w:pPr>
          </w:p>
        </w:tc>
      </w:tr>
      <w:tr w14:paraId="00FDFB2C">
        <w:tblPrEx>
          <w:tblCellMar>
            <w:top w:w="0" w:type="dxa"/>
            <w:left w:w="57" w:type="dxa"/>
            <w:bottom w:w="0" w:type="dxa"/>
            <w:right w:w="57" w:type="dxa"/>
          </w:tblCellMar>
        </w:tblPrEx>
        <w:trPr>
          <w:trHeight w:val="574" w:hRule="exact"/>
          <w:jc w:val="center"/>
        </w:trPr>
        <w:tc>
          <w:tcPr>
            <w:tcW w:w="1510" w:type="pct"/>
            <w:tcBorders>
              <w:top w:val="single" w:color="000000" w:sz="6" w:space="0"/>
              <w:left w:val="single" w:color="000000" w:sz="6" w:space="0"/>
              <w:bottom w:val="single" w:color="000000" w:sz="6" w:space="0"/>
              <w:right w:val="single" w:color="000000" w:sz="6" w:space="0"/>
            </w:tcBorders>
            <w:noWrap w:val="0"/>
            <w:vAlign w:val="center"/>
          </w:tcPr>
          <w:p w14:paraId="1D94B6A3">
            <w:pP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二、净</w:t>
            </w:r>
            <w:r>
              <w:rPr>
                <w:rFonts w:hint="eastAsia" w:ascii="宋体" w:hAnsi="宋体" w:eastAsia="宋体" w:cs="宋体"/>
                <w:color w:val="auto"/>
                <w:spacing w:val="-2"/>
                <w:kern w:val="0"/>
                <w:szCs w:val="21"/>
                <w:highlight w:val="none"/>
              </w:rPr>
              <w:t>资</w:t>
            </w:r>
            <w:r>
              <w:rPr>
                <w:rFonts w:hint="eastAsia" w:ascii="宋体" w:hAnsi="宋体" w:eastAsia="宋体" w:cs="宋体"/>
                <w:color w:val="auto"/>
                <w:kern w:val="0"/>
                <w:szCs w:val="21"/>
                <w:highlight w:val="none"/>
              </w:rPr>
              <w:t>产</w:t>
            </w:r>
          </w:p>
        </w:tc>
        <w:tc>
          <w:tcPr>
            <w:tcW w:w="799" w:type="pct"/>
            <w:tcBorders>
              <w:top w:val="single" w:color="000000" w:sz="6" w:space="0"/>
              <w:left w:val="single" w:color="000000" w:sz="6" w:space="0"/>
              <w:bottom w:val="single" w:color="000000" w:sz="6" w:space="0"/>
              <w:right w:val="single" w:color="000000" w:sz="6" w:space="0"/>
            </w:tcBorders>
            <w:noWrap w:val="0"/>
            <w:vAlign w:val="center"/>
          </w:tcPr>
          <w:p w14:paraId="3B78EB98">
            <w:pP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万元</w:t>
            </w:r>
          </w:p>
        </w:tc>
        <w:tc>
          <w:tcPr>
            <w:tcW w:w="1004" w:type="pct"/>
            <w:tcBorders>
              <w:top w:val="single" w:color="000000" w:sz="6" w:space="0"/>
              <w:left w:val="single" w:color="000000" w:sz="6" w:space="0"/>
              <w:bottom w:val="single" w:color="000000" w:sz="6" w:space="0"/>
              <w:right w:val="single" w:color="000000" w:sz="6" w:space="0"/>
            </w:tcBorders>
            <w:noWrap w:val="0"/>
            <w:vAlign w:val="center"/>
          </w:tcPr>
          <w:p w14:paraId="219A167D">
            <w:pPr>
              <w:autoSpaceDE w:val="0"/>
              <w:autoSpaceDN w:val="0"/>
              <w:adjustRightInd w:val="0"/>
              <w:snapToGrid w:val="0"/>
              <w:jc w:val="center"/>
              <w:rPr>
                <w:rFonts w:hint="eastAsia" w:ascii="宋体" w:hAnsi="宋体" w:eastAsia="宋体" w:cs="宋体"/>
                <w:color w:val="auto"/>
                <w:kern w:val="0"/>
                <w:szCs w:val="21"/>
                <w:highlight w:val="none"/>
              </w:rPr>
            </w:pPr>
          </w:p>
        </w:tc>
        <w:tc>
          <w:tcPr>
            <w:tcW w:w="839" w:type="pct"/>
            <w:tcBorders>
              <w:top w:val="single" w:color="000000" w:sz="6" w:space="0"/>
              <w:left w:val="single" w:color="000000" w:sz="6" w:space="0"/>
              <w:bottom w:val="single" w:color="000000" w:sz="6" w:space="0"/>
              <w:right w:val="single" w:color="000000" w:sz="6" w:space="0"/>
            </w:tcBorders>
            <w:noWrap w:val="0"/>
            <w:vAlign w:val="center"/>
          </w:tcPr>
          <w:p w14:paraId="25C84957">
            <w:pPr>
              <w:autoSpaceDE w:val="0"/>
              <w:autoSpaceDN w:val="0"/>
              <w:adjustRightInd w:val="0"/>
              <w:snapToGrid w:val="0"/>
              <w:jc w:val="center"/>
              <w:rPr>
                <w:rFonts w:hint="eastAsia" w:ascii="宋体" w:hAnsi="宋体" w:eastAsia="宋体" w:cs="宋体"/>
                <w:color w:val="auto"/>
                <w:kern w:val="0"/>
                <w:szCs w:val="21"/>
                <w:highlight w:val="none"/>
              </w:rPr>
            </w:pPr>
          </w:p>
        </w:tc>
        <w:tc>
          <w:tcPr>
            <w:tcW w:w="846" w:type="pct"/>
            <w:tcBorders>
              <w:top w:val="single" w:color="000000" w:sz="6" w:space="0"/>
              <w:left w:val="single" w:color="000000" w:sz="6" w:space="0"/>
              <w:bottom w:val="single" w:color="000000" w:sz="6" w:space="0"/>
              <w:right w:val="single" w:color="000000" w:sz="6" w:space="0"/>
            </w:tcBorders>
            <w:noWrap w:val="0"/>
            <w:vAlign w:val="center"/>
          </w:tcPr>
          <w:p w14:paraId="2FF859C1">
            <w:pPr>
              <w:autoSpaceDE w:val="0"/>
              <w:autoSpaceDN w:val="0"/>
              <w:adjustRightInd w:val="0"/>
              <w:snapToGrid w:val="0"/>
              <w:jc w:val="center"/>
              <w:rPr>
                <w:rFonts w:hint="eastAsia" w:ascii="宋体" w:hAnsi="宋体" w:eastAsia="宋体" w:cs="宋体"/>
                <w:color w:val="auto"/>
                <w:kern w:val="0"/>
                <w:szCs w:val="21"/>
                <w:highlight w:val="none"/>
              </w:rPr>
            </w:pPr>
          </w:p>
        </w:tc>
      </w:tr>
      <w:tr w14:paraId="3AE2C9B2">
        <w:tblPrEx>
          <w:tblCellMar>
            <w:top w:w="0" w:type="dxa"/>
            <w:left w:w="57" w:type="dxa"/>
            <w:bottom w:w="0" w:type="dxa"/>
            <w:right w:w="57" w:type="dxa"/>
          </w:tblCellMar>
        </w:tblPrEx>
        <w:trPr>
          <w:trHeight w:val="576" w:hRule="exact"/>
          <w:jc w:val="center"/>
        </w:trPr>
        <w:tc>
          <w:tcPr>
            <w:tcW w:w="1510" w:type="pct"/>
            <w:tcBorders>
              <w:top w:val="single" w:color="000000" w:sz="6" w:space="0"/>
              <w:left w:val="single" w:color="000000" w:sz="6" w:space="0"/>
              <w:bottom w:val="single" w:color="000000" w:sz="6" w:space="0"/>
              <w:right w:val="single" w:color="000000" w:sz="6" w:space="0"/>
            </w:tcBorders>
            <w:noWrap w:val="0"/>
            <w:vAlign w:val="center"/>
          </w:tcPr>
          <w:p w14:paraId="662E0434">
            <w:pP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三、总</w:t>
            </w:r>
            <w:r>
              <w:rPr>
                <w:rFonts w:hint="eastAsia" w:ascii="宋体" w:hAnsi="宋体" w:eastAsia="宋体" w:cs="宋体"/>
                <w:color w:val="auto"/>
                <w:spacing w:val="-2"/>
                <w:kern w:val="0"/>
                <w:szCs w:val="21"/>
                <w:highlight w:val="none"/>
              </w:rPr>
              <w:t>资</w:t>
            </w:r>
            <w:r>
              <w:rPr>
                <w:rFonts w:hint="eastAsia" w:ascii="宋体" w:hAnsi="宋体" w:eastAsia="宋体" w:cs="宋体"/>
                <w:color w:val="auto"/>
                <w:kern w:val="0"/>
                <w:szCs w:val="21"/>
                <w:highlight w:val="none"/>
              </w:rPr>
              <w:t>产</w:t>
            </w:r>
          </w:p>
        </w:tc>
        <w:tc>
          <w:tcPr>
            <w:tcW w:w="799" w:type="pct"/>
            <w:tcBorders>
              <w:top w:val="single" w:color="000000" w:sz="6" w:space="0"/>
              <w:left w:val="single" w:color="000000" w:sz="6" w:space="0"/>
              <w:bottom w:val="single" w:color="000000" w:sz="6" w:space="0"/>
              <w:right w:val="single" w:color="000000" w:sz="6" w:space="0"/>
            </w:tcBorders>
            <w:noWrap w:val="0"/>
            <w:vAlign w:val="center"/>
          </w:tcPr>
          <w:p w14:paraId="5EF7110A">
            <w:pP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万元</w:t>
            </w:r>
          </w:p>
        </w:tc>
        <w:tc>
          <w:tcPr>
            <w:tcW w:w="1004" w:type="pct"/>
            <w:tcBorders>
              <w:top w:val="single" w:color="000000" w:sz="6" w:space="0"/>
              <w:left w:val="single" w:color="000000" w:sz="6" w:space="0"/>
              <w:bottom w:val="single" w:color="000000" w:sz="6" w:space="0"/>
              <w:right w:val="single" w:color="000000" w:sz="6" w:space="0"/>
            </w:tcBorders>
            <w:noWrap w:val="0"/>
            <w:vAlign w:val="center"/>
          </w:tcPr>
          <w:p w14:paraId="09C3070D">
            <w:pPr>
              <w:autoSpaceDE w:val="0"/>
              <w:autoSpaceDN w:val="0"/>
              <w:adjustRightInd w:val="0"/>
              <w:snapToGrid w:val="0"/>
              <w:jc w:val="center"/>
              <w:rPr>
                <w:rFonts w:hint="eastAsia" w:ascii="宋体" w:hAnsi="宋体" w:eastAsia="宋体" w:cs="宋体"/>
                <w:color w:val="auto"/>
                <w:kern w:val="0"/>
                <w:szCs w:val="21"/>
                <w:highlight w:val="none"/>
              </w:rPr>
            </w:pPr>
          </w:p>
        </w:tc>
        <w:tc>
          <w:tcPr>
            <w:tcW w:w="839" w:type="pct"/>
            <w:tcBorders>
              <w:top w:val="single" w:color="000000" w:sz="6" w:space="0"/>
              <w:left w:val="single" w:color="000000" w:sz="6" w:space="0"/>
              <w:bottom w:val="single" w:color="000000" w:sz="6" w:space="0"/>
              <w:right w:val="single" w:color="000000" w:sz="6" w:space="0"/>
            </w:tcBorders>
            <w:noWrap w:val="0"/>
            <w:vAlign w:val="center"/>
          </w:tcPr>
          <w:p w14:paraId="3BA9661B">
            <w:pPr>
              <w:autoSpaceDE w:val="0"/>
              <w:autoSpaceDN w:val="0"/>
              <w:adjustRightInd w:val="0"/>
              <w:snapToGrid w:val="0"/>
              <w:jc w:val="center"/>
              <w:rPr>
                <w:rFonts w:hint="eastAsia" w:ascii="宋体" w:hAnsi="宋体" w:eastAsia="宋体" w:cs="宋体"/>
                <w:color w:val="auto"/>
                <w:kern w:val="0"/>
                <w:szCs w:val="21"/>
                <w:highlight w:val="none"/>
              </w:rPr>
            </w:pPr>
          </w:p>
        </w:tc>
        <w:tc>
          <w:tcPr>
            <w:tcW w:w="846" w:type="pct"/>
            <w:tcBorders>
              <w:top w:val="single" w:color="000000" w:sz="6" w:space="0"/>
              <w:left w:val="single" w:color="000000" w:sz="6" w:space="0"/>
              <w:bottom w:val="single" w:color="000000" w:sz="6" w:space="0"/>
              <w:right w:val="single" w:color="000000" w:sz="6" w:space="0"/>
            </w:tcBorders>
            <w:noWrap w:val="0"/>
            <w:vAlign w:val="center"/>
          </w:tcPr>
          <w:p w14:paraId="36C2B713">
            <w:pPr>
              <w:autoSpaceDE w:val="0"/>
              <w:autoSpaceDN w:val="0"/>
              <w:adjustRightInd w:val="0"/>
              <w:snapToGrid w:val="0"/>
              <w:jc w:val="center"/>
              <w:rPr>
                <w:rFonts w:hint="eastAsia" w:ascii="宋体" w:hAnsi="宋体" w:eastAsia="宋体" w:cs="宋体"/>
                <w:color w:val="auto"/>
                <w:kern w:val="0"/>
                <w:szCs w:val="21"/>
                <w:highlight w:val="none"/>
              </w:rPr>
            </w:pPr>
          </w:p>
        </w:tc>
      </w:tr>
      <w:tr w14:paraId="66477C9C">
        <w:tblPrEx>
          <w:tblCellMar>
            <w:top w:w="0" w:type="dxa"/>
            <w:left w:w="57" w:type="dxa"/>
            <w:bottom w:w="0" w:type="dxa"/>
            <w:right w:w="57" w:type="dxa"/>
          </w:tblCellMar>
        </w:tblPrEx>
        <w:trPr>
          <w:trHeight w:val="574" w:hRule="exact"/>
          <w:jc w:val="center"/>
        </w:trPr>
        <w:tc>
          <w:tcPr>
            <w:tcW w:w="1510" w:type="pct"/>
            <w:tcBorders>
              <w:top w:val="single" w:color="000000" w:sz="6" w:space="0"/>
              <w:left w:val="single" w:color="000000" w:sz="6" w:space="0"/>
              <w:bottom w:val="single" w:color="000000" w:sz="6" w:space="0"/>
              <w:right w:val="single" w:color="000000" w:sz="6" w:space="0"/>
            </w:tcBorders>
            <w:noWrap w:val="0"/>
            <w:vAlign w:val="center"/>
          </w:tcPr>
          <w:p w14:paraId="729A4DCE">
            <w:pP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四</w:t>
            </w:r>
            <w:r>
              <w:rPr>
                <w:rFonts w:hint="eastAsia" w:ascii="宋体" w:hAnsi="宋体" w:eastAsia="宋体" w:cs="宋体"/>
                <w:color w:val="auto"/>
                <w:kern w:val="0"/>
                <w:szCs w:val="21"/>
                <w:highlight w:val="none"/>
              </w:rPr>
              <w:t>、负</w:t>
            </w:r>
            <w:r>
              <w:rPr>
                <w:rFonts w:hint="eastAsia" w:ascii="宋体" w:hAnsi="宋体" w:eastAsia="宋体" w:cs="宋体"/>
                <w:color w:val="auto"/>
                <w:spacing w:val="-2"/>
                <w:kern w:val="0"/>
                <w:szCs w:val="21"/>
                <w:highlight w:val="none"/>
              </w:rPr>
              <w:t>债</w:t>
            </w:r>
            <w:r>
              <w:rPr>
                <w:rFonts w:hint="eastAsia" w:ascii="宋体" w:hAnsi="宋体" w:eastAsia="宋体" w:cs="宋体"/>
                <w:color w:val="auto"/>
                <w:kern w:val="0"/>
                <w:szCs w:val="21"/>
                <w:highlight w:val="none"/>
              </w:rPr>
              <w:t>合计</w:t>
            </w:r>
          </w:p>
        </w:tc>
        <w:tc>
          <w:tcPr>
            <w:tcW w:w="799" w:type="pct"/>
            <w:tcBorders>
              <w:top w:val="single" w:color="000000" w:sz="6" w:space="0"/>
              <w:left w:val="single" w:color="000000" w:sz="6" w:space="0"/>
              <w:bottom w:val="single" w:color="000000" w:sz="6" w:space="0"/>
              <w:right w:val="single" w:color="000000" w:sz="6" w:space="0"/>
            </w:tcBorders>
            <w:noWrap w:val="0"/>
            <w:vAlign w:val="center"/>
          </w:tcPr>
          <w:p w14:paraId="55347C8F">
            <w:pP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万元</w:t>
            </w:r>
          </w:p>
        </w:tc>
        <w:tc>
          <w:tcPr>
            <w:tcW w:w="1004" w:type="pct"/>
            <w:tcBorders>
              <w:top w:val="single" w:color="000000" w:sz="6" w:space="0"/>
              <w:left w:val="single" w:color="000000" w:sz="6" w:space="0"/>
              <w:bottom w:val="single" w:color="000000" w:sz="6" w:space="0"/>
              <w:right w:val="single" w:color="000000" w:sz="6" w:space="0"/>
            </w:tcBorders>
            <w:noWrap w:val="0"/>
            <w:vAlign w:val="center"/>
          </w:tcPr>
          <w:p w14:paraId="37AA3CCD">
            <w:pPr>
              <w:autoSpaceDE w:val="0"/>
              <w:autoSpaceDN w:val="0"/>
              <w:adjustRightInd w:val="0"/>
              <w:snapToGrid w:val="0"/>
              <w:jc w:val="center"/>
              <w:rPr>
                <w:rFonts w:hint="eastAsia" w:ascii="宋体" w:hAnsi="宋体" w:eastAsia="宋体" w:cs="宋体"/>
                <w:color w:val="auto"/>
                <w:kern w:val="0"/>
                <w:szCs w:val="21"/>
                <w:highlight w:val="none"/>
              </w:rPr>
            </w:pPr>
          </w:p>
        </w:tc>
        <w:tc>
          <w:tcPr>
            <w:tcW w:w="839" w:type="pct"/>
            <w:tcBorders>
              <w:top w:val="single" w:color="000000" w:sz="6" w:space="0"/>
              <w:left w:val="single" w:color="000000" w:sz="6" w:space="0"/>
              <w:bottom w:val="single" w:color="000000" w:sz="6" w:space="0"/>
              <w:right w:val="single" w:color="000000" w:sz="6" w:space="0"/>
            </w:tcBorders>
            <w:noWrap w:val="0"/>
            <w:vAlign w:val="center"/>
          </w:tcPr>
          <w:p w14:paraId="1386FCDA">
            <w:pPr>
              <w:autoSpaceDE w:val="0"/>
              <w:autoSpaceDN w:val="0"/>
              <w:adjustRightInd w:val="0"/>
              <w:snapToGrid w:val="0"/>
              <w:jc w:val="center"/>
              <w:rPr>
                <w:rFonts w:hint="eastAsia" w:ascii="宋体" w:hAnsi="宋体" w:eastAsia="宋体" w:cs="宋体"/>
                <w:color w:val="auto"/>
                <w:kern w:val="0"/>
                <w:szCs w:val="21"/>
                <w:highlight w:val="none"/>
              </w:rPr>
            </w:pPr>
          </w:p>
        </w:tc>
        <w:tc>
          <w:tcPr>
            <w:tcW w:w="846" w:type="pct"/>
            <w:tcBorders>
              <w:top w:val="single" w:color="000000" w:sz="6" w:space="0"/>
              <w:left w:val="single" w:color="000000" w:sz="6" w:space="0"/>
              <w:bottom w:val="single" w:color="000000" w:sz="6" w:space="0"/>
              <w:right w:val="single" w:color="000000" w:sz="6" w:space="0"/>
            </w:tcBorders>
            <w:noWrap w:val="0"/>
            <w:vAlign w:val="center"/>
          </w:tcPr>
          <w:p w14:paraId="6B0A0CBD">
            <w:pPr>
              <w:autoSpaceDE w:val="0"/>
              <w:autoSpaceDN w:val="0"/>
              <w:adjustRightInd w:val="0"/>
              <w:snapToGrid w:val="0"/>
              <w:jc w:val="center"/>
              <w:rPr>
                <w:rFonts w:hint="eastAsia" w:ascii="宋体" w:hAnsi="宋体" w:eastAsia="宋体" w:cs="宋体"/>
                <w:color w:val="auto"/>
                <w:kern w:val="0"/>
                <w:szCs w:val="21"/>
                <w:highlight w:val="none"/>
              </w:rPr>
            </w:pPr>
          </w:p>
        </w:tc>
      </w:tr>
      <w:tr w14:paraId="2A4FE235">
        <w:tblPrEx>
          <w:tblCellMar>
            <w:top w:w="0" w:type="dxa"/>
            <w:left w:w="57" w:type="dxa"/>
            <w:bottom w:w="0" w:type="dxa"/>
            <w:right w:w="57" w:type="dxa"/>
          </w:tblCellMar>
        </w:tblPrEx>
        <w:trPr>
          <w:trHeight w:val="576" w:hRule="exact"/>
          <w:jc w:val="center"/>
        </w:trPr>
        <w:tc>
          <w:tcPr>
            <w:tcW w:w="1510" w:type="pct"/>
            <w:tcBorders>
              <w:top w:val="single" w:color="000000" w:sz="6" w:space="0"/>
              <w:left w:val="single" w:color="000000" w:sz="6" w:space="0"/>
              <w:bottom w:val="single" w:color="000000" w:sz="6" w:space="0"/>
              <w:right w:val="single" w:color="000000" w:sz="6" w:space="0"/>
            </w:tcBorders>
            <w:noWrap w:val="0"/>
            <w:vAlign w:val="center"/>
          </w:tcPr>
          <w:p w14:paraId="268E093E">
            <w:pP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五</w:t>
            </w:r>
            <w:r>
              <w:rPr>
                <w:rFonts w:hint="eastAsia" w:ascii="宋体" w:hAnsi="宋体" w:eastAsia="宋体" w:cs="宋体"/>
                <w:color w:val="auto"/>
                <w:kern w:val="0"/>
                <w:szCs w:val="21"/>
                <w:highlight w:val="none"/>
              </w:rPr>
              <w:t>、营</w:t>
            </w:r>
            <w:r>
              <w:rPr>
                <w:rFonts w:hint="eastAsia" w:ascii="宋体" w:hAnsi="宋体" w:eastAsia="宋体" w:cs="宋体"/>
                <w:color w:val="auto"/>
                <w:spacing w:val="-2"/>
                <w:kern w:val="0"/>
                <w:szCs w:val="21"/>
                <w:highlight w:val="none"/>
              </w:rPr>
              <w:t>业</w:t>
            </w:r>
            <w:r>
              <w:rPr>
                <w:rFonts w:hint="eastAsia" w:ascii="宋体" w:hAnsi="宋体" w:eastAsia="宋体" w:cs="宋体"/>
                <w:color w:val="auto"/>
                <w:kern w:val="0"/>
                <w:szCs w:val="21"/>
                <w:highlight w:val="none"/>
              </w:rPr>
              <w:t>收入</w:t>
            </w:r>
          </w:p>
        </w:tc>
        <w:tc>
          <w:tcPr>
            <w:tcW w:w="799" w:type="pct"/>
            <w:tcBorders>
              <w:top w:val="single" w:color="000000" w:sz="6" w:space="0"/>
              <w:left w:val="single" w:color="000000" w:sz="6" w:space="0"/>
              <w:bottom w:val="single" w:color="000000" w:sz="6" w:space="0"/>
              <w:right w:val="single" w:color="000000" w:sz="6" w:space="0"/>
            </w:tcBorders>
            <w:noWrap w:val="0"/>
            <w:vAlign w:val="center"/>
          </w:tcPr>
          <w:p w14:paraId="7BCFC1A4">
            <w:pP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万元</w:t>
            </w:r>
          </w:p>
        </w:tc>
        <w:tc>
          <w:tcPr>
            <w:tcW w:w="1004" w:type="pct"/>
            <w:tcBorders>
              <w:top w:val="single" w:color="000000" w:sz="6" w:space="0"/>
              <w:left w:val="single" w:color="000000" w:sz="6" w:space="0"/>
              <w:bottom w:val="single" w:color="000000" w:sz="6" w:space="0"/>
              <w:right w:val="single" w:color="000000" w:sz="6" w:space="0"/>
            </w:tcBorders>
            <w:noWrap w:val="0"/>
            <w:vAlign w:val="center"/>
          </w:tcPr>
          <w:p w14:paraId="41D6DF91">
            <w:pPr>
              <w:autoSpaceDE w:val="0"/>
              <w:autoSpaceDN w:val="0"/>
              <w:adjustRightInd w:val="0"/>
              <w:snapToGrid w:val="0"/>
              <w:jc w:val="center"/>
              <w:rPr>
                <w:rFonts w:hint="eastAsia" w:ascii="宋体" w:hAnsi="宋体" w:eastAsia="宋体" w:cs="宋体"/>
                <w:color w:val="auto"/>
                <w:kern w:val="0"/>
                <w:szCs w:val="21"/>
                <w:highlight w:val="none"/>
              </w:rPr>
            </w:pPr>
          </w:p>
        </w:tc>
        <w:tc>
          <w:tcPr>
            <w:tcW w:w="839" w:type="pct"/>
            <w:tcBorders>
              <w:top w:val="single" w:color="000000" w:sz="6" w:space="0"/>
              <w:left w:val="single" w:color="000000" w:sz="6" w:space="0"/>
              <w:bottom w:val="single" w:color="000000" w:sz="6" w:space="0"/>
              <w:right w:val="single" w:color="000000" w:sz="6" w:space="0"/>
            </w:tcBorders>
            <w:noWrap w:val="0"/>
            <w:vAlign w:val="center"/>
          </w:tcPr>
          <w:p w14:paraId="7FE40C93">
            <w:pPr>
              <w:autoSpaceDE w:val="0"/>
              <w:autoSpaceDN w:val="0"/>
              <w:adjustRightInd w:val="0"/>
              <w:snapToGrid w:val="0"/>
              <w:jc w:val="center"/>
              <w:rPr>
                <w:rFonts w:hint="eastAsia" w:ascii="宋体" w:hAnsi="宋体" w:eastAsia="宋体" w:cs="宋体"/>
                <w:color w:val="auto"/>
                <w:kern w:val="0"/>
                <w:szCs w:val="21"/>
                <w:highlight w:val="none"/>
              </w:rPr>
            </w:pPr>
          </w:p>
        </w:tc>
        <w:tc>
          <w:tcPr>
            <w:tcW w:w="846" w:type="pct"/>
            <w:tcBorders>
              <w:top w:val="single" w:color="000000" w:sz="6" w:space="0"/>
              <w:left w:val="single" w:color="000000" w:sz="6" w:space="0"/>
              <w:bottom w:val="single" w:color="000000" w:sz="6" w:space="0"/>
              <w:right w:val="single" w:color="000000" w:sz="6" w:space="0"/>
            </w:tcBorders>
            <w:noWrap w:val="0"/>
            <w:vAlign w:val="center"/>
          </w:tcPr>
          <w:p w14:paraId="70352CB9">
            <w:pPr>
              <w:autoSpaceDE w:val="0"/>
              <w:autoSpaceDN w:val="0"/>
              <w:adjustRightInd w:val="0"/>
              <w:snapToGrid w:val="0"/>
              <w:jc w:val="center"/>
              <w:rPr>
                <w:rFonts w:hint="eastAsia" w:ascii="宋体" w:hAnsi="宋体" w:eastAsia="宋体" w:cs="宋体"/>
                <w:color w:val="auto"/>
                <w:kern w:val="0"/>
                <w:szCs w:val="21"/>
                <w:highlight w:val="none"/>
              </w:rPr>
            </w:pPr>
          </w:p>
        </w:tc>
      </w:tr>
      <w:tr w14:paraId="7DA98872">
        <w:tblPrEx>
          <w:tblCellMar>
            <w:top w:w="0" w:type="dxa"/>
            <w:left w:w="57" w:type="dxa"/>
            <w:bottom w:w="0" w:type="dxa"/>
            <w:right w:w="57" w:type="dxa"/>
          </w:tblCellMar>
        </w:tblPrEx>
        <w:trPr>
          <w:trHeight w:val="574" w:hRule="exact"/>
          <w:jc w:val="center"/>
        </w:trPr>
        <w:tc>
          <w:tcPr>
            <w:tcW w:w="1510" w:type="pct"/>
            <w:tcBorders>
              <w:top w:val="single" w:color="000000" w:sz="6" w:space="0"/>
              <w:left w:val="single" w:color="000000" w:sz="6" w:space="0"/>
              <w:bottom w:val="single" w:color="000000" w:sz="6" w:space="0"/>
              <w:right w:val="single" w:color="000000" w:sz="6" w:space="0"/>
            </w:tcBorders>
            <w:noWrap w:val="0"/>
            <w:vAlign w:val="center"/>
          </w:tcPr>
          <w:p w14:paraId="7CDD3D45">
            <w:pP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六</w:t>
            </w:r>
            <w:r>
              <w:rPr>
                <w:rFonts w:hint="eastAsia" w:ascii="宋体" w:hAnsi="宋体" w:eastAsia="宋体" w:cs="宋体"/>
                <w:color w:val="auto"/>
                <w:kern w:val="0"/>
                <w:szCs w:val="21"/>
                <w:highlight w:val="none"/>
              </w:rPr>
              <w:t>、净</w:t>
            </w:r>
            <w:r>
              <w:rPr>
                <w:rFonts w:hint="eastAsia" w:ascii="宋体" w:hAnsi="宋体" w:eastAsia="宋体" w:cs="宋体"/>
                <w:color w:val="auto"/>
                <w:spacing w:val="-2"/>
                <w:kern w:val="0"/>
                <w:szCs w:val="21"/>
                <w:highlight w:val="none"/>
              </w:rPr>
              <w:t>利</w:t>
            </w:r>
            <w:r>
              <w:rPr>
                <w:rFonts w:hint="eastAsia" w:ascii="宋体" w:hAnsi="宋体" w:eastAsia="宋体" w:cs="宋体"/>
                <w:color w:val="auto"/>
                <w:kern w:val="0"/>
                <w:szCs w:val="21"/>
                <w:highlight w:val="none"/>
              </w:rPr>
              <w:t>润</w:t>
            </w:r>
          </w:p>
        </w:tc>
        <w:tc>
          <w:tcPr>
            <w:tcW w:w="799" w:type="pct"/>
            <w:tcBorders>
              <w:top w:val="single" w:color="000000" w:sz="6" w:space="0"/>
              <w:left w:val="single" w:color="000000" w:sz="6" w:space="0"/>
              <w:bottom w:val="single" w:color="000000" w:sz="6" w:space="0"/>
              <w:right w:val="single" w:color="000000" w:sz="6" w:space="0"/>
            </w:tcBorders>
            <w:noWrap w:val="0"/>
            <w:vAlign w:val="center"/>
          </w:tcPr>
          <w:p w14:paraId="00CC652B">
            <w:pP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万元</w:t>
            </w:r>
          </w:p>
        </w:tc>
        <w:tc>
          <w:tcPr>
            <w:tcW w:w="1004" w:type="pct"/>
            <w:tcBorders>
              <w:top w:val="single" w:color="000000" w:sz="6" w:space="0"/>
              <w:left w:val="single" w:color="000000" w:sz="6" w:space="0"/>
              <w:bottom w:val="single" w:color="000000" w:sz="6" w:space="0"/>
              <w:right w:val="single" w:color="000000" w:sz="6" w:space="0"/>
            </w:tcBorders>
            <w:noWrap w:val="0"/>
            <w:vAlign w:val="center"/>
          </w:tcPr>
          <w:p w14:paraId="66E482CD">
            <w:pPr>
              <w:autoSpaceDE w:val="0"/>
              <w:autoSpaceDN w:val="0"/>
              <w:adjustRightInd w:val="0"/>
              <w:snapToGrid w:val="0"/>
              <w:jc w:val="center"/>
              <w:rPr>
                <w:rFonts w:hint="eastAsia" w:ascii="宋体" w:hAnsi="宋体" w:eastAsia="宋体" w:cs="宋体"/>
                <w:color w:val="auto"/>
                <w:kern w:val="0"/>
                <w:szCs w:val="21"/>
                <w:highlight w:val="none"/>
              </w:rPr>
            </w:pPr>
          </w:p>
        </w:tc>
        <w:tc>
          <w:tcPr>
            <w:tcW w:w="839" w:type="pct"/>
            <w:tcBorders>
              <w:top w:val="single" w:color="000000" w:sz="6" w:space="0"/>
              <w:left w:val="single" w:color="000000" w:sz="6" w:space="0"/>
              <w:bottom w:val="single" w:color="000000" w:sz="6" w:space="0"/>
              <w:right w:val="single" w:color="000000" w:sz="6" w:space="0"/>
            </w:tcBorders>
            <w:noWrap w:val="0"/>
            <w:vAlign w:val="center"/>
          </w:tcPr>
          <w:p w14:paraId="5E1614FE">
            <w:pPr>
              <w:autoSpaceDE w:val="0"/>
              <w:autoSpaceDN w:val="0"/>
              <w:adjustRightInd w:val="0"/>
              <w:snapToGrid w:val="0"/>
              <w:jc w:val="center"/>
              <w:rPr>
                <w:rFonts w:hint="eastAsia" w:ascii="宋体" w:hAnsi="宋体" w:eastAsia="宋体" w:cs="宋体"/>
                <w:color w:val="auto"/>
                <w:kern w:val="0"/>
                <w:szCs w:val="21"/>
                <w:highlight w:val="none"/>
              </w:rPr>
            </w:pPr>
          </w:p>
        </w:tc>
        <w:tc>
          <w:tcPr>
            <w:tcW w:w="846" w:type="pct"/>
            <w:tcBorders>
              <w:top w:val="single" w:color="000000" w:sz="6" w:space="0"/>
              <w:left w:val="single" w:color="000000" w:sz="6" w:space="0"/>
              <w:bottom w:val="single" w:color="000000" w:sz="6" w:space="0"/>
              <w:right w:val="single" w:color="000000" w:sz="6" w:space="0"/>
            </w:tcBorders>
            <w:noWrap w:val="0"/>
            <w:vAlign w:val="center"/>
          </w:tcPr>
          <w:p w14:paraId="0BFCD8DF">
            <w:pPr>
              <w:autoSpaceDE w:val="0"/>
              <w:autoSpaceDN w:val="0"/>
              <w:adjustRightInd w:val="0"/>
              <w:snapToGrid w:val="0"/>
              <w:jc w:val="center"/>
              <w:rPr>
                <w:rFonts w:hint="eastAsia" w:ascii="宋体" w:hAnsi="宋体" w:eastAsia="宋体" w:cs="宋体"/>
                <w:color w:val="auto"/>
                <w:kern w:val="0"/>
                <w:szCs w:val="21"/>
                <w:highlight w:val="none"/>
              </w:rPr>
            </w:pPr>
          </w:p>
        </w:tc>
      </w:tr>
      <w:tr w14:paraId="63634E13">
        <w:tblPrEx>
          <w:tblCellMar>
            <w:top w:w="0" w:type="dxa"/>
            <w:left w:w="57" w:type="dxa"/>
            <w:bottom w:w="0" w:type="dxa"/>
            <w:right w:w="57" w:type="dxa"/>
          </w:tblCellMar>
        </w:tblPrEx>
        <w:trPr>
          <w:trHeight w:val="707" w:hRule="exact"/>
          <w:jc w:val="center"/>
        </w:trPr>
        <w:tc>
          <w:tcPr>
            <w:tcW w:w="1510" w:type="pct"/>
            <w:tcBorders>
              <w:top w:val="single" w:color="000000" w:sz="6" w:space="0"/>
              <w:left w:val="single" w:color="000000" w:sz="6" w:space="0"/>
              <w:bottom w:val="single" w:color="000000" w:sz="6" w:space="0"/>
              <w:right w:val="single" w:color="000000" w:sz="6" w:space="0"/>
            </w:tcBorders>
            <w:noWrap w:val="0"/>
            <w:vAlign w:val="center"/>
          </w:tcPr>
          <w:p w14:paraId="70D3339F">
            <w:pP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b/>
                <w:bCs/>
                <w:color w:val="auto"/>
                <w:kern w:val="0"/>
                <w:szCs w:val="21"/>
                <w:highlight w:val="none"/>
                <w:lang w:val="en-US" w:eastAsia="zh-CN"/>
              </w:rPr>
              <w:t>七</w:t>
            </w:r>
            <w:r>
              <w:rPr>
                <w:rFonts w:hint="eastAsia" w:ascii="宋体" w:hAnsi="宋体" w:eastAsia="宋体" w:cs="宋体"/>
                <w:b/>
                <w:bCs/>
                <w:color w:val="auto"/>
                <w:kern w:val="0"/>
                <w:szCs w:val="21"/>
                <w:highlight w:val="none"/>
              </w:rPr>
              <w:t>、</w:t>
            </w:r>
            <w:r>
              <w:rPr>
                <w:rFonts w:hint="eastAsia" w:ascii="宋体" w:hAnsi="宋体" w:eastAsia="宋体" w:cs="宋体"/>
                <w:b/>
                <w:bCs/>
                <w:color w:val="auto"/>
                <w:kern w:val="0"/>
                <w:szCs w:val="21"/>
                <w:highlight w:val="none"/>
                <w:lang w:val="en-US" w:eastAsia="zh-CN"/>
              </w:rPr>
              <w:t>经营性现金流量净额</w:t>
            </w:r>
          </w:p>
        </w:tc>
        <w:tc>
          <w:tcPr>
            <w:tcW w:w="799" w:type="pct"/>
            <w:tcBorders>
              <w:top w:val="single" w:color="000000" w:sz="6" w:space="0"/>
              <w:left w:val="single" w:color="000000" w:sz="6" w:space="0"/>
              <w:bottom w:val="single" w:color="000000" w:sz="6" w:space="0"/>
              <w:right w:val="single" w:color="000000" w:sz="6" w:space="0"/>
            </w:tcBorders>
            <w:noWrap w:val="0"/>
            <w:vAlign w:val="center"/>
          </w:tcPr>
          <w:p w14:paraId="0DCFA4B2">
            <w:pP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万元</w:t>
            </w:r>
          </w:p>
        </w:tc>
        <w:tc>
          <w:tcPr>
            <w:tcW w:w="1004" w:type="pct"/>
            <w:tcBorders>
              <w:top w:val="single" w:color="000000" w:sz="6" w:space="0"/>
              <w:left w:val="single" w:color="000000" w:sz="6" w:space="0"/>
              <w:bottom w:val="single" w:color="000000" w:sz="6" w:space="0"/>
              <w:right w:val="single" w:color="000000" w:sz="6" w:space="0"/>
            </w:tcBorders>
            <w:noWrap w:val="0"/>
            <w:vAlign w:val="center"/>
          </w:tcPr>
          <w:p w14:paraId="402D35A8">
            <w:pPr>
              <w:autoSpaceDE w:val="0"/>
              <w:autoSpaceDN w:val="0"/>
              <w:adjustRightInd w:val="0"/>
              <w:snapToGrid w:val="0"/>
              <w:jc w:val="center"/>
              <w:rPr>
                <w:rFonts w:hint="eastAsia" w:ascii="宋体" w:hAnsi="宋体" w:eastAsia="宋体" w:cs="宋体"/>
                <w:color w:val="auto"/>
                <w:kern w:val="0"/>
                <w:szCs w:val="21"/>
                <w:highlight w:val="none"/>
              </w:rPr>
            </w:pPr>
          </w:p>
        </w:tc>
        <w:tc>
          <w:tcPr>
            <w:tcW w:w="839" w:type="pct"/>
            <w:tcBorders>
              <w:top w:val="single" w:color="000000" w:sz="6" w:space="0"/>
              <w:left w:val="single" w:color="000000" w:sz="6" w:space="0"/>
              <w:bottom w:val="single" w:color="000000" w:sz="6" w:space="0"/>
              <w:right w:val="single" w:color="000000" w:sz="6" w:space="0"/>
            </w:tcBorders>
            <w:noWrap w:val="0"/>
            <w:vAlign w:val="center"/>
          </w:tcPr>
          <w:p w14:paraId="1AF15250">
            <w:pPr>
              <w:autoSpaceDE w:val="0"/>
              <w:autoSpaceDN w:val="0"/>
              <w:adjustRightInd w:val="0"/>
              <w:snapToGrid w:val="0"/>
              <w:jc w:val="center"/>
              <w:rPr>
                <w:rFonts w:hint="eastAsia" w:ascii="宋体" w:hAnsi="宋体" w:eastAsia="宋体" w:cs="宋体"/>
                <w:color w:val="auto"/>
                <w:kern w:val="0"/>
                <w:szCs w:val="21"/>
                <w:highlight w:val="none"/>
              </w:rPr>
            </w:pPr>
          </w:p>
        </w:tc>
        <w:tc>
          <w:tcPr>
            <w:tcW w:w="846" w:type="pct"/>
            <w:tcBorders>
              <w:top w:val="single" w:color="000000" w:sz="6" w:space="0"/>
              <w:left w:val="single" w:color="000000" w:sz="6" w:space="0"/>
              <w:bottom w:val="single" w:color="000000" w:sz="6" w:space="0"/>
              <w:right w:val="single" w:color="000000" w:sz="6" w:space="0"/>
            </w:tcBorders>
            <w:noWrap w:val="0"/>
            <w:vAlign w:val="center"/>
          </w:tcPr>
          <w:p w14:paraId="353E652D">
            <w:pPr>
              <w:autoSpaceDE w:val="0"/>
              <w:autoSpaceDN w:val="0"/>
              <w:adjustRightInd w:val="0"/>
              <w:snapToGrid w:val="0"/>
              <w:jc w:val="center"/>
              <w:rPr>
                <w:rFonts w:hint="eastAsia" w:ascii="宋体" w:hAnsi="宋体" w:eastAsia="宋体" w:cs="宋体"/>
                <w:color w:val="auto"/>
                <w:kern w:val="0"/>
                <w:szCs w:val="21"/>
                <w:highlight w:val="none"/>
              </w:rPr>
            </w:pPr>
          </w:p>
        </w:tc>
      </w:tr>
      <w:tr w14:paraId="232FA812">
        <w:tblPrEx>
          <w:tblCellMar>
            <w:top w:w="0" w:type="dxa"/>
            <w:left w:w="57" w:type="dxa"/>
            <w:bottom w:w="0" w:type="dxa"/>
            <w:right w:w="57" w:type="dxa"/>
          </w:tblCellMar>
        </w:tblPrEx>
        <w:trPr>
          <w:trHeight w:val="574" w:hRule="exact"/>
          <w:jc w:val="center"/>
        </w:trPr>
        <w:tc>
          <w:tcPr>
            <w:tcW w:w="1510" w:type="pct"/>
            <w:tcBorders>
              <w:top w:val="single" w:color="000000" w:sz="6" w:space="0"/>
              <w:left w:val="single" w:color="000000" w:sz="6" w:space="0"/>
              <w:bottom w:val="single" w:color="000000" w:sz="6" w:space="0"/>
              <w:right w:val="single" w:color="000000" w:sz="6" w:space="0"/>
            </w:tcBorders>
            <w:noWrap w:val="0"/>
            <w:vAlign w:val="center"/>
          </w:tcPr>
          <w:p w14:paraId="58FE31AD">
            <w:pP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b/>
                <w:bCs/>
                <w:color w:val="auto"/>
                <w:kern w:val="0"/>
                <w:szCs w:val="21"/>
                <w:highlight w:val="none"/>
                <w:lang w:val="en-US" w:eastAsia="zh-CN"/>
              </w:rPr>
              <w:t>八</w:t>
            </w:r>
            <w:r>
              <w:rPr>
                <w:rFonts w:hint="eastAsia" w:ascii="宋体" w:hAnsi="宋体" w:eastAsia="宋体" w:cs="宋体"/>
                <w:b/>
                <w:bCs/>
                <w:color w:val="auto"/>
                <w:kern w:val="0"/>
                <w:szCs w:val="21"/>
                <w:highlight w:val="none"/>
              </w:rPr>
              <w:t>、资产负债率</w:t>
            </w:r>
          </w:p>
        </w:tc>
        <w:tc>
          <w:tcPr>
            <w:tcW w:w="799" w:type="pct"/>
            <w:tcBorders>
              <w:top w:val="single" w:color="000000" w:sz="6" w:space="0"/>
              <w:left w:val="single" w:color="000000" w:sz="6" w:space="0"/>
              <w:bottom w:val="single" w:color="000000" w:sz="6" w:space="0"/>
              <w:right w:val="single" w:color="000000" w:sz="6" w:space="0"/>
            </w:tcBorders>
            <w:noWrap w:val="0"/>
            <w:vAlign w:val="center"/>
          </w:tcPr>
          <w:p w14:paraId="16C0FE14">
            <w:pPr>
              <w:autoSpaceDE w:val="0"/>
              <w:autoSpaceDN w:val="0"/>
              <w:adjustRightInd w:val="0"/>
              <w:snapToGrid w:val="0"/>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w:t>
            </w:r>
          </w:p>
        </w:tc>
        <w:tc>
          <w:tcPr>
            <w:tcW w:w="1004" w:type="pct"/>
            <w:tcBorders>
              <w:top w:val="single" w:color="000000" w:sz="6" w:space="0"/>
              <w:left w:val="single" w:color="000000" w:sz="6" w:space="0"/>
              <w:bottom w:val="single" w:color="000000" w:sz="6" w:space="0"/>
              <w:right w:val="single" w:color="000000" w:sz="6" w:space="0"/>
            </w:tcBorders>
            <w:noWrap w:val="0"/>
            <w:vAlign w:val="center"/>
          </w:tcPr>
          <w:p w14:paraId="6A518B0E">
            <w:pPr>
              <w:autoSpaceDE w:val="0"/>
              <w:autoSpaceDN w:val="0"/>
              <w:adjustRightInd w:val="0"/>
              <w:snapToGrid w:val="0"/>
              <w:jc w:val="center"/>
              <w:rPr>
                <w:rFonts w:hint="eastAsia" w:ascii="宋体" w:hAnsi="宋体" w:eastAsia="宋体" w:cs="宋体"/>
                <w:color w:val="auto"/>
                <w:kern w:val="0"/>
                <w:szCs w:val="21"/>
                <w:highlight w:val="none"/>
                <w:lang w:val="en-US" w:eastAsia="zh-CN"/>
              </w:rPr>
            </w:pPr>
          </w:p>
        </w:tc>
        <w:tc>
          <w:tcPr>
            <w:tcW w:w="839" w:type="pct"/>
            <w:tcBorders>
              <w:top w:val="single" w:color="000000" w:sz="6" w:space="0"/>
              <w:left w:val="single" w:color="000000" w:sz="6" w:space="0"/>
              <w:bottom w:val="single" w:color="000000" w:sz="6" w:space="0"/>
              <w:right w:val="single" w:color="000000" w:sz="6" w:space="0"/>
            </w:tcBorders>
            <w:noWrap w:val="0"/>
            <w:vAlign w:val="center"/>
          </w:tcPr>
          <w:p w14:paraId="6BE49412">
            <w:pPr>
              <w:autoSpaceDE w:val="0"/>
              <w:autoSpaceDN w:val="0"/>
              <w:adjustRightInd w:val="0"/>
              <w:snapToGrid w:val="0"/>
              <w:jc w:val="center"/>
              <w:rPr>
                <w:rFonts w:hint="eastAsia" w:ascii="宋体" w:hAnsi="宋体" w:eastAsia="宋体" w:cs="宋体"/>
                <w:color w:val="auto"/>
                <w:kern w:val="0"/>
                <w:szCs w:val="21"/>
                <w:highlight w:val="none"/>
                <w:lang w:val="en-US" w:eastAsia="zh-CN"/>
              </w:rPr>
            </w:pPr>
          </w:p>
        </w:tc>
        <w:tc>
          <w:tcPr>
            <w:tcW w:w="846" w:type="pct"/>
            <w:tcBorders>
              <w:top w:val="single" w:color="000000" w:sz="6" w:space="0"/>
              <w:left w:val="single" w:color="000000" w:sz="6" w:space="0"/>
              <w:bottom w:val="single" w:color="000000" w:sz="6" w:space="0"/>
              <w:right w:val="single" w:color="000000" w:sz="6" w:space="0"/>
            </w:tcBorders>
            <w:noWrap w:val="0"/>
            <w:vAlign w:val="center"/>
          </w:tcPr>
          <w:p w14:paraId="47B29AE3">
            <w:pPr>
              <w:autoSpaceDE w:val="0"/>
              <w:autoSpaceDN w:val="0"/>
              <w:adjustRightInd w:val="0"/>
              <w:snapToGrid w:val="0"/>
              <w:jc w:val="center"/>
              <w:rPr>
                <w:rFonts w:hint="eastAsia" w:ascii="宋体" w:hAnsi="宋体" w:eastAsia="宋体" w:cs="宋体"/>
                <w:color w:val="auto"/>
                <w:kern w:val="0"/>
                <w:szCs w:val="21"/>
                <w:highlight w:val="none"/>
                <w:lang w:val="en-US" w:eastAsia="zh-CN"/>
              </w:rPr>
            </w:pPr>
          </w:p>
        </w:tc>
      </w:tr>
      <w:tr w14:paraId="35B7ABCB">
        <w:tblPrEx>
          <w:tblCellMar>
            <w:top w:w="0" w:type="dxa"/>
            <w:left w:w="57" w:type="dxa"/>
            <w:bottom w:w="0" w:type="dxa"/>
            <w:right w:w="57" w:type="dxa"/>
          </w:tblCellMar>
        </w:tblPrEx>
        <w:trPr>
          <w:trHeight w:val="594" w:hRule="exact"/>
          <w:jc w:val="center"/>
        </w:trPr>
        <w:tc>
          <w:tcPr>
            <w:tcW w:w="5000" w:type="pct"/>
            <w:gridSpan w:val="5"/>
            <w:tcBorders>
              <w:top w:val="single" w:color="000000" w:sz="6" w:space="0"/>
              <w:left w:val="single" w:color="000000" w:sz="6" w:space="0"/>
              <w:bottom w:val="single" w:color="000000" w:sz="6" w:space="0"/>
              <w:right w:val="single" w:color="000000" w:sz="6" w:space="0"/>
            </w:tcBorders>
            <w:noWrap w:val="0"/>
            <w:vAlign w:val="center"/>
          </w:tcPr>
          <w:p w14:paraId="74156DB5">
            <w:pPr>
              <w:keepNext w:val="0"/>
              <w:keepLines w:val="0"/>
              <w:pageBreakBefore w:val="0"/>
              <w:widowControl w:val="0"/>
              <w:kinsoku/>
              <w:wordWrap/>
              <w:overflowPunct/>
              <w:topLinePunct w:val="0"/>
              <w:autoSpaceDE w:val="0"/>
              <w:autoSpaceDN w:val="0"/>
              <w:bidi w:val="0"/>
              <w:adjustRightInd w:val="0"/>
              <w:snapToGrid w:val="0"/>
              <w:ind w:firstLine="0" w:firstLineChars="0"/>
              <w:jc w:val="left"/>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财务专用章（盖章）：</w:t>
            </w:r>
          </w:p>
        </w:tc>
      </w:tr>
      <w:tr w14:paraId="3F356CC0">
        <w:tblPrEx>
          <w:tblCellMar>
            <w:top w:w="0" w:type="dxa"/>
            <w:left w:w="57" w:type="dxa"/>
            <w:bottom w:w="0" w:type="dxa"/>
            <w:right w:w="57" w:type="dxa"/>
          </w:tblCellMar>
        </w:tblPrEx>
        <w:trPr>
          <w:trHeight w:val="560" w:hRule="exact"/>
          <w:jc w:val="center"/>
        </w:trPr>
        <w:tc>
          <w:tcPr>
            <w:tcW w:w="5000" w:type="pct"/>
            <w:gridSpan w:val="5"/>
            <w:tcBorders>
              <w:top w:val="single" w:color="000000" w:sz="6" w:space="0"/>
              <w:left w:val="single" w:color="000000" w:sz="6" w:space="0"/>
              <w:bottom w:val="single" w:color="000000" w:sz="6" w:space="0"/>
              <w:right w:val="single" w:color="000000" w:sz="6" w:space="0"/>
            </w:tcBorders>
            <w:noWrap w:val="0"/>
            <w:vAlign w:val="center"/>
          </w:tcPr>
          <w:p w14:paraId="26976187">
            <w:pPr>
              <w:keepNext w:val="0"/>
              <w:keepLines w:val="0"/>
              <w:pageBreakBefore w:val="0"/>
              <w:widowControl w:val="0"/>
              <w:kinsoku/>
              <w:wordWrap/>
              <w:overflowPunct/>
              <w:topLinePunct w:val="0"/>
              <w:autoSpaceDE w:val="0"/>
              <w:autoSpaceDN w:val="0"/>
              <w:bidi w:val="0"/>
              <w:adjustRightInd w:val="0"/>
              <w:snapToGrid w:val="0"/>
              <w:ind w:firstLine="0" w:firstLineChars="0"/>
              <w:jc w:val="left"/>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财务负责人签字：</w:t>
            </w:r>
          </w:p>
        </w:tc>
      </w:tr>
    </w:tbl>
    <w:p w14:paraId="48405083">
      <w:pPr>
        <w:snapToGrid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提供</w:t>
      </w:r>
      <w:r>
        <w:rPr>
          <w:rFonts w:hint="eastAsia" w:ascii="宋体" w:hAnsi="宋体" w:eastAsia="宋体" w:cs="宋体"/>
          <w:color w:val="auto"/>
          <w:sz w:val="24"/>
          <w:szCs w:val="24"/>
          <w:highlight w:val="none"/>
          <w:lang w:val="en-US" w:eastAsia="zh-CN"/>
        </w:rPr>
        <w:t>近三年</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val="en-US" w:eastAsia="zh-CN"/>
        </w:rPr>
        <w:t>经营性现金流量表复印件</w:t>
      </w:r>
      <w:r>
        <w:rPr>
          <w:rFonts w:hint="eastAsia" w:ascii="宋体" w:hAnsi="宋体" w:eastAsia="宋体" w:cs="宋体"/>
          <w:color w:val="auto"/>
          <w:sz w:val="24"/>
          <w:szCs w:val="24"/>
          <w:highlight w:val="none"/>
        </w:rPr>
        <w:t>并由财务负责人签字及加盖财务专用章</w:t>
      </w:r>
      <w:r>
        <w:rPr>
          <w:rFonts w:hint="eastAsia" w:ascii="宋体" w:hAnsi="宋体" w:eastAsia="宋体" w:cs="宋体"/>
          <w:color w:val="auto"/>
          <w:sz w:val="24"/>
          <w:szCs w:val="24"/>
          <w:highlight w:val="none"/>
          <w:lang w:val="en-US" w:eastAsia="zh-CN"/>
        </w:rPr>
        <w:t>；（中粮粮谷包50-74不适用本条要求）（</w:t>
      </w:r>
      <w:r>
        <w:rPr>
          <w:rFonts w:hint="eastAsia" w:ascii="宋体" w:hAnsi="宋体" w:eastAsia="宋体" w:cs="宋体"/>
          <w:color w:val="auto"/>
          <w:sz w:val="24"/>
          <w:szCs w:val="24"/>
          <w:highlight w:val="none"/>
        </w:rPr>
        <w:t>格式自拟</w:t>
      </w:r>
      <w:r>
        <w:rPr>
          <w:rFonts w:hint="eastAsia" w:ascii="宋体" w:hAnsi="宋体" w:eastAsia="宋体" w:cs="宋体"/>
          <w:color w:val="auto"/>
          <w:sz w:val="24"/>
          <w:szCs w:val="24"/>
          <w:highlight w:val="none"/>
          <w:lang w:val="en-US" w:eastAsia="zh-CN"/>
        </w:rPr>
        <w:t>）；</w:t>
      </w:r>
    </w:p>
    <w:p w14:paraId="0E728595">
      <w:pPr>
        <w:keepNext w:val="0"/>
        <w:keepLines w:val="0"/>
        <w:pageBreakBefore w:val="0"/>
        <w:widowControl w:val="0"/>
        <w:kinsoku/>
        <w:wordWrap/>
        <w:overflowPunct/>
        <w:topLinePunct w:val="0"/>
        <w:autoSpaceDE/>
        <w:autoSpaceDN/>
        <w:bidi w:val="0"/>
        <w:adjustRightInd/>
        <w:snapToGrid w:val="0"/>
        <w:spacing w:before="313" w:beforeLines="100" w:line="360" w:lineRule="auto"/>
        <w:jc w:val="left"/>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w:t>
      </w:r>
      <w:r>
        <w:rPr>
          <w:rFonts w:hint="eastAsia" w:ascii="宋体" w:hAnsi="宋体" w:eastAsia="宋体" w:cs="宋体"/>
          <w:b w:val="0"/>
          <w:bCs w:val="0"/>
          <w:color w:val="auto"/>
          <w:sz w:val="24"/>
          <w:szCs w:val="24"/>
          <w:highlight w:val="none"/>
        </w:rPr>
        <w:t>提供202</w:t>
      </w:r>
      <w:r>
        <w:rPr>
          <w:rFonts w:hint="eastAsia" w:ascii="宋体" w:hAnsi="宋体" w:eastAsia="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rPr>
        <w:t>年度末的资产负债率说明并由财务负责人签字及加盖财务专用章</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格式自拟</w:t>
      </w:r>
      <w:r>
        <w:rPr>
          <w:rFonts w:hint="eastAsia" w:ascii="宋体" w:hAnsi="宋体" w:eastAsia="宋体" w:cs="宋体"/>
          <w:color w:val="auto"/>
          <w:sz w:val="24"/>
          <w:szCs w:val="24"/>
          <w:highlight w:val="none"/>
          <w:lang w:val="en-US" w:eastAsia="zh-CN"/>
        </w:rPr>
        <w:t>）</w:t>
      </w:r>
      <w:r>
        <w:rPr>
          <w:rFonts w:hint="eastAsia" w:ascii="宋体" w:hAnsi="宋体" w:eastAsia="宋体" w:cs="宋体"/>
          <w:b w:val="0"/>
          <w:bCs w:val="0"/>
          <w:color w:val="auto"/>
          <w:sz w:val="24"/>
          <w:szCs w:val="24"/>
          <w:highlight w:val="none"/>
          <w:lang w:eastAsia="zh-CN"/>
        </w:rPr>
        <w:t>；</w:t>
      </w:r>
    </w:p>
    <w:p w14:paraId="7F26699B">
      <w:pPr>
        <w:snapToGrid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4.其他财务说明以或履约担保函相关材料（要求详见谈判公告，</w:t>
      </w:r>
      <w:r>
        <w:rPr>
          <w:rFonts w:hint="eastAsia" w:ascii="宋体" w:hAnsi="宋体" w:eastAsia="宋体" w:cs="宋体"/>
          <w:color w:val="auto"/>
          <w:sz w:val="24"/>
          <w:szCs w:val="24"/>
          <w:highlight w:val="none"/>
        </w:rPr>
        <w:t>格式自拟</w:t>
      </w:r>
      <w:r>
        <w:rPr>
          <w:rFonts w:hint="eastAsia" w:ascii="宋体" w:hAnsi="宋体" w:eastAsia="宋体" w:cs="宋体"/>
          <w:color w:val="auto"/>
          <w:sz w:val="24"/>
          <w:szCs w:val="24"/>
          <w:highlight w:val="none"/>
          <w:lang w:val="en-US" w:eastAsia="zh-CN"/>
        </w:rPr>
        <w:t>）。</w:t>
      </w:r>
    </w:p>
    <w:p w14:paraId="0E7774B2">
      <w:pPr>
        <w:rPr>
          <w:rFonts w:hint="eastAsia" w:ascii="宋体" w:hAnsi="宋体" w:eastAsia="宋体" w:cs="宋体"/>
          <w:b/>
          <w:bCs/>
          <w:snapToGrid w:val="0"/>
          <w:color w:val="auto"/>
          <w:kern w:val="0"/>
          <w:sz w:val="24"/>
          <w:highlight w:val="none"/>
          <w:lang w:eastAsia="zh-CN" w:bidi="en-US"/>
        </w:rPr>
      </w:pPr>
      <w:r>
        <w:rPr>
          <w:rFonts w:hint="eastAsia" w:ascii="宋体" w:hAnsi="宋体" w:eastAsia="宋体" w:cs="宋体"/>
          <w:b w:val="0"/>
          <w:bCs w:val="0"/>
          <w:snapToGrid w:val="0"/>
          <w:color w:val="auto"/>
          <w:kern w:val="0"/>
          <w:sz w:val="24"/>
          <w:highlight w:val="none"/>
          <w:lang w:val="en-US" w:eastAsia="zh-CN" w:bidi="en-US"/>
        </w:rPr>
        <w:br w:type="page"/>
      </w:r>
      <w:r>
        <w:rPr>
          <w:rFonts w:hint="eastAsia" w:ascii="宋体" w:hAnsi="宋体" w:eastAsia="宋体" w:cs="宋体"/>
          <w:b/>
          <w:bCs/>
          <w:snapToGrid w:val="0"/>
          <w:color w:val="auto"/>
          <w:kern w:val="0"/>
          <w:sz w:val="24"/>
          <w:highlight w:val="none"/>
          <w:lang w:bidi="en-US"/>
        </w:rPr>
        <w:t>附件</w:t>
      </w:r>
      <w:r>
        <w:rPr>
          <w:rFonts w:hint="eastAsia" w:ascii="宋体" w:hAnsi="宋体" w:eastAsia="宋体" w:cs="宋体"/>
          <w:b/>
          <w:bCs/>
          <w:snapToGrid w:val="0"/>
          <w:color w:val="auto"/>
          <w:kern w:val="0"/>
          <w:sz w:val="24"/>
          <w:highlight w:val="none"/>
          <w:lang w:val="en-US" w:eastAsia="zh-CN" w:bidi="en-US"/>
        </w:rPr>
        <w:t>3</w:t>
      </w:r>
      <w:r>
        <w:rPr>
          <w:rFonts w:hint="eastAsia" w:ascii="宋体" w:hAnsi="宋体" w:eastAsia="宋体" w:cs="宋体"/>
          <w:b/>
          <w:bCs/>
          <w:color w:val="auto"/>
          <w:sz w:val="24"/>
          <w:szCs w:val="24"/>
          <w:highlight w:val="none"/>
          <w:lang w:val="en-US" w:eastAsia="zh-CN"/>
        </w:rPr>
        <w:t>业绩</w:t>
      </w:r>
      <w:r>
        <w:rPr>
          <w:rFonts w:hint="eastAsia" w:ascii="宋体" w:hAnsi="宋体" w:eastAsia="宋体" w:cs="宋体"/>
          <w:b/>
          <w:bCs/>
          <w:color w:val="auto"/>
          <w:sz w:val="24"/>
          <w:szCs w:val="24"/>
          <w:highlight w:val="none"/>
        </w:rPr>
        <w:t>要求</w:t>
      </w:r>
      <w:r>
        <w:rPr>
          <w:rFonts w:hint="eastAsia" w:ascii="宋体" w:hAnsi="宋体" w:eastAsia="宋体" w:cs="宋体"/>
          <w:b/>
          <w:bCs/>
          <w:color w:val="auto"/>
          <w:sz w:val="24"/>
          <w:szCs w:val="24"/>
          <w:highlight w:val="none"/>
          <w:lang w:eastAsia="zh-CN"/>
        </w:rPr>
        <w:t>：</w:t>
      </w:r>
    </w:p>
    <w:p w14:paraId="2B35B54B">
      <w:pPr>
        <w:snapToGrid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1.业绩列表：</w:t>
      </w:r>
    </w:p>
    <w:tbl>
      <w:tblPr>
        <w:tblStyle w:val="3"/>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9"/>
        <w:gridCol w:w="6201"/>
      </w:tblGrid>
      <w:tr w14:paraId="1DEA8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1361" w:type="pct"/>
            <w:noWrap w:val="0"/>
            <w:vAlign w:val="center"/>
          </w:tcPr>
          <w:p w14:paraId="25BCDE1A">
            <w:pPr>
              <w:topLinePunct/>
              <w:spacing w:line="440" w:lineRule="exact"/>
              <w:contextualSpacing/>
              <w:jc w:val="center"/>
              <w:rPr>
                <w:rFonts w:hint="eastAsia" w:ascii="宋体" w:hAnsi="宋体" w:eastAsia="宋体" w:cs="宋体"/>
                <w:color w:val="auto"/>
                <w:szCs w:val="21"/>
                <w:highlight w:val="none"/>
                <w:lang w:val="en-US" w:eastAsia="zh-CN"/>
              </w:rPr>
            </w:pPr>
            <w:r>
              <w:rPr>
                <w:rFonts w:hint="eastAsia" w:ascii="宋体" w:hAnsi="宋体" w:eastAsia="宋体" w:cs="宋体"/>
                <w:b/>
                <w:bCs/>
                <w:color w:val="auto"/>
                <w:szCs w:val="21"/>
                <w:highlight w:val="none"/>
                <w:lang w:val="en-US" w:eastAsia="zh-CN"/>
              </w:rPr>
              <w:t>业绩序号</w:t>
            </w:r>
          </w:p>
        </w:tc>
        <w:tc>
          <w:tcPr>
            <w:tcW w:w="3638" w:type="pct"/>
            <w:noWrap w:val="0"/>
            <w:vAlign w:val="center"/>
          </w:tcPr>
          <w:p w14:paraId="045AC7C4">
            <w:pPr>
              <w:topLinePunct/>
              <w:spacing w:line="440" w:lineRule="exact"/>
              <w:contextualSpacing/>
              <w:jc w:val="center"/>
              <w:rPr>
                <w:rFonts w:hint="eastAsia" w:ascii="宋体" w:hAnsi="宋体" w:eastAsia="宋体" w:cs="宋体"/>
                <w:color w:val="auto"/>
                <w:szCs w:val="21"/>
                <w:highlight w:val="none"/>
                <w:lang w:val="en-US" w:eastAsia="zh-CN"/>
              </w:rPr>
            </w:pPr>
            <w:r>
              <w:rPr>
                <w:rFonts w:hint="eastAsia" w:ascii="宋体" w:hAnsi="宋体" w:eastAsia="宋体" w:cs="宋体"/>
                <w:b/>
                <w:bCs/>
                <w:color w:val="auto"/>
                <w:szCs w:val="21"/>
                <w:highlight w:val="none"/>
                <w:lang w:val="en-US" w:eastAsia="zh-CN"/>
              </w:rPr>
              <w:t>业绩1（个供应商自行修改序号）</w:t>
            </w:r>
          </w:p>
        </w:tc>
      </w:tr>
      <w:tr w14:paraId="4E83C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1361" w:type="pct"/>
            <w:noWrap w:val="0"/>
            <w:vAlign w:val="center"/>
          </w:tcPr>
          <w:p w14:paraId="47A67ED4">
            <w:pPr>
              <w:topLinePunct/>
              <w:spacing w:line="440" w:lineRule="exact"/>
              <w:contextualSpacing/>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资质要求</w:t>
            </w:r>
            <w:r>
              <w:rPr>
                <w:rFonts w:hint="eastAsia" w:ascii="宋体" w:hAnsi="宋体" w:eastAsia="宋体" w:cs="宋体"/>
                <w:b/>
                <w:bCs/>
                <w:color w:val="auto"/>
                <w:szCs w:val="21"/>
                <w:highlight w:val="none"/>
                <w:lang w:val="en-US" w:eastAsia="zh-CN"/>
              </w:rPr>
              <w:t>（通用业绩/专用业绩要求）</w:t>
            </w:r>
          </w:p>
        </w:tc>
        <w:tc>
          <w:tcPr>
            <w:tcW w:w="3638" w:type="pct"/>
            <w:noWrap w:val="0"/>
            <w:vAlign w:val="center"/>
          </w:tcPr>
          <w:p w14:paraId="6896B941">
            <w:pPr>
              <w:topLinePunct/>
              <w:spacing w:line="440" w:lineRule="exact"/>
              <w:contextualSpacing/>
              <w:jc w:val="center"/>
              <w:rPr>
                <w:rFonts w:hint="eastAsia" w:ascii="宋体" w:hAnsi="宋体" w:eastAsia="宋体" w:cs="宋体"/>
                <w:color w:val="auto"/>
                <w:szCs w:val="21"/>
                <w:highlight w:val="none"/>
                <w:lang w:val="en-US" w:eastAsia="zh-CN"/>
              </w:rPr>
            </w:pPr>
          </w:p>
        </w:tc>
      </w:tr>
      <w:tr w14:paraId="12306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1361" w:type="pct"/>
            <w:noWrap w:val="0"/>
            <w:vAlign w:val="center"/>
          </w:tcPr>
          <w:p w14:paraId="52680814">
            <w:pPr>
              <w:keepNext w:val="0"/>
              <w:keepLines w:val="0"/>
              <w:pageBreakBefore w:val="0"/>
              <w:widowControl w:val="0"/>
              <w:kinsoku/>
              <w:wordWrap/>
              <w:overflowPunct/>
              <w:topLinePunct/>
              <w:autoSpaceDE/>
              <w:autoSpaceDN/>
              <w:bidi w:val="0"/>
              <w:adjustRightInd/>
              <w:snapToGrid/>
              <w:spacing w:line="240" w:lineRule="auto"/>
              <w:contextualSpacing/>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业绩</w:t>
            </w:r>
            <w:r>
              <w:rPr>
                <w:rFonts w:hint="eastAsia" w:ascii="宋体" w:hAnsi="宋体" w:eastAsia="宋体" w:cs="宋体"/>
                <w:color w:val="auto"/>
                <w:kern w:val="0"/>
                <w:szCs w:val="21"/>
                <w:highlight w:val="none"/>
                <w:lang w:bidi="ar"/>
              </w:rPr>
              <w:t>合同名称</w:t>
            </w:r>
          </w:p>
        </w:tc>
        <w:tc>
          <w:tcPr>
            <w:tcW w:w="3638" w:type="pct"/>
            <w:noWrap w:val="0"/>
            <w:vAlign w:val="center"/>
          </w:tcPr>
          <w:p w14:paraId="66A0F117">
            <w:pPr>
              <w:topLinePunct/>
              <w:spacing w:line="440" w:lineRule="exact"/>
              <w:contextualSpacing/>
              <w:rPr>
                <w:rFonts w:hint="eastAsia" w:ascii="宋体" w:hAnsi="宋体" w:eastAsia="宋体" w:cs="宋体"/>
                <w:color w:val="auto"/>
                <w:szCs w:val="21"/>
                <w:highlight w:val="none"/>
              </w:rPr>
            </w:pPr>
          </w:p>
        </w:tc>
      </w:tr>
      <w:tr w14:paraId="7363D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361" w:type="pct"/>
            <w:noWrap w:val="0"/>
            <w:vAlign w:val="center"/>
          </w:tcPr>
          <w:p w14:paraId="1D2773CF">
            <w:pPr>
              <w:keepNext w:val="0"/>
              <w:keepLines w:val="0"/>
              <w:pageBreakBefore w:val="0"/>
              <w:widowControl w:val="0"/>
              <w:kinsoku/>
              <w:wordWrap/>
              <w:overflowPunct/>
              <w:topLinePunct/>
              <w:autoSpaceDE/>
              <w:autoSpaceDN/>
              <w:bidi w:val="0"/>
              <w:adjustRightInd/>
              <w:snapToGrid/>
              <w:spacing w:line="240" w:lineRule="auto"/>
              <w:contextualSpacing/>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业绩</w:t>
            </w:r>
            <w:r>
              <w:rPr>
                <w:rFonts w:hint="eastAsia" w:ascii="宋体" w:hAnsi="宋体" w:eastAsia="宋体" w:cs="宋体"/>
                <w:color w:val="auto"/>
                <w:szCs w:val="21"/>
                <w:highlight w:val="none"/>
              </w:rPr>
              <w:t>服务运输品类型</w:t>
            </w:r>
          </w:p>
        </w:tc>
        <w:tc>
          <w:tcPr>
            <w:tcW w:w="3638" w:type="pct"/>
            <w:noWrap w:val="0"/>
            <w:vAlign w:val="center"/>
          </w:tcPr>
          <w:p w14:paraId="01E9BD4D">
            <w:pPr>
              <w:topLinePunct/>
              <w:spacing w:line="440" w:lineRule="exact"/>
              <w:contextualSpacing/>
              <w:rPr>
                <w:rFonts w:hint="eastAsia" w:ascii="宋体" w:hAnsi="宋体" w:eastAsia="宋体" w:cs="宋体"/>
                <w:color w:val="auto"/>
                <w:szCs w:val="21"/>
                <w:highlight w:val="none"/>
              </w:rPr>
            </w:pPr>
          </w:p>
        </w:tc>
      </w:tr>
      <w:tr w14:paraId="33DBB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361" w:type="pct"/>
            <w:noWrap w:val="0"/>
            <w:vAlign w:val="center"/>
          </w:tcPr>
          <w:p w14:paraId="218EE56E">
            <w:pPr>
              <w:keepNext w:val="0"/>
              <w:keepLines w:val="0"/>
              <w:pageBreakBefore w:val="0"/>
              <w:widowControl w:val="0"/>
              <w:kinsoku/>
              <w:wordWrap/>
              <w:overflowPunct/>
              <w:topLinePunct/>
              <w:autoSpaceDE/>
              <w:autoSpaceDN/>
              <w:bidi w:val="0"/>
              <w:adjustRightInd/>
              <w:snapToGrid/>
              <w:spacing w:line="240" w:lineRule="auto"/>
              <w:contextualSpacing/>
              <w:jc w:val="center"/>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发包人名称</w:t>
            </w:r>
            <w:r>
              <w:rPr>
                <w:rFonts w:hint="eastAsia" w:ascii="宋体" w:hAnsi="宋体" w:eastAsia="宋体" w:cs="宋体"/>
                <w:color w:val="auto"/>
                <w:szCs w:val="21"/>
                <w:highlight w:val="none"/>
                <w:lang w:val="en-US" w:eastAsia="zh-CN"/>
              </w:rPr>
              <w:t>及电话</w:t>
            </w:r>
          </w:p>
        </w:tc>
        <w:tc>
          <w:tcPr>
            <w:tcW w:w="3638" w:type="pct"/>
            <w:noWrap w:val="0"/>
            <w:vAlign w:val="center"/>
          </w:tcPr>
          <w:p w14:paraId="711925D1">
            <w:pPr>
              <w:topLinePunct/>
              <w:spacing w:line="440" w:lineRule="exact"/>
              <w:contextualSpacing/>
              <w:rPr>
                <w:rFonts w:hint="eastAsia" w:ascii="宋体" w:hAnsi="宋体" w:eastAsia="宋体" w:cs="宋体"/>
                <w:color w:val="auto"/>
                <w:szCs w:val="21"/>
                <w:highlight w:val="none"/>
              </w:rPr>
            </w:pPr>
          </w:p>
        </w:tc>
      </w:tr>
      <w:tr w14:paraId="555AB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361" w:type="pct"/>
            <w:noWrap w:val="0"/>
            <w:vAlign w:val="center"/>
          </w:tcPr>
          <w:p w14:paraId="43623F21">
            <w:pPr>
              <w:keepNext w:val="0"/>
              <w:keepLines w:val="0"/>
              <w:pageBreakBefore w:val="0"/>
              <w:widowControl w:val="0"/>
              <w:kinsoku/>
              <w:wordWrap/>
              <w:overflowPunct/>
              <w:topLinePunct/>
              <w:autoSpaceDE/>
              <w:autoSpaceDN/>
              <w:bidi w:val="0"/>
              <w:adjustRightInd/>
              <w:snapToGrid/>
              <w:spacing w:line="240" w:lineRule="auto"/>
              <w:contextualSpacing/>
              <w:jc w:val="center"/>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合同运输时间</w:t>
            </w:r>
          </w:p>
        </w:tc>
        <w:tc>
          <w:tcPr>
            <w:tcW w:w="3638" w:type="pct"/>
            <w:noWrap w:val="0"/>
            <w:vAlign w:val="center"/>
          </w:tcPr>
          <w:p w14:paraId="4A8A12D0">
            <w:pPr>
              <w:topLinePunct/>
              <w:spacing w:line="440" w:lineRule="exact"/>
              <w:contextualSpacing/>
              <w:rPr>
                <w:rFonts w:hint="eastAsia" w:ascii="宋体" w:hAnsi="宋体" w:eastAsia="宋体" w:cs="宋体"/>
                <w:color w:val="auto"/>
                <w:szCs w:val="21"/>
                <w:highlight w:val="none"/>
              </w:rPr>
            </w:pPr>
          </w:p>
        </w:tc>
      </w:tr>
      <w:tr w14:paraId="5F7C2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361" w:type="pct"/>
            <w:noWrap w:val="0"/>
            <w:vAlign w:val="center"/>
          </w:tcPr>
          <w:p w14:paraId="4C8E5C52">
            <w:pPr>
              <w:keepNext w:val="0"/>
              <w:keepLines w:val="0"/>
              <w:pageBreakBefore w:val="0"/>
              <w:widowControl w:val="0"/>
              <w:kinsoku/>
              <w:wordWrap/>
              <w:overflowPunct/>
              <w:topLinePunct/>
              <w:autoSpaceDE/>
              <w:autoSpaceDN/>
              <w:bidi w:val="0"/>
              <w:adjustRightInd/>
              <w:snapToGrid/>
              <w:spacing w:line="240" w:lineRule="auto"/>
              <w:contextualSpacing/>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合同签订时间</w:t>
            </w:r>
          </w:p>
        </w:tc>
        <w:tc>
          <w:tcPr>
            <w:tcW w:w="3638" w:type="pct"/>
            <w:noWrap w:val="0"/>
            <w:vAlign w:val="center"/>
          </w:tcPr>
          <w:p w14:paraId="0693B5B9">
            <w:pPr>
              <w:topLinePunct/>
              <w:spacing w:line="440" w:lineRule="exact"/>
              <w:contextualSpacing/>
              <w:rPr>
                <w:rFonts w:hint="eastAsia" w:ascii="宋体" w:hAnsi="宋体" w:eastAsia="宋体" w:cs="宋体"/>
                <w:color w:val="auto"/>
                <w:szCs w:val="21"/>
                <w:highlight w:val="none"/>
              </w:rPr>
            </w:pPr>
          </w:p>
        </w:tc>
      </w:tr>
      <w:tr w14:paraId="21BDA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1361" w:type="pct"/>
            <w:noWrap w:val="0"/>
            <w:vAlign w:val="center"/>
          </w:tcPr>
          <w:p w14:paraId="37BF73A1">
            <w:pPr>
              <w:keepNext w:val="0"/>
              <w:keepLines w:val="0"/>
              <w:pageBreakBefore w:val="0"/>
              <w:widowControl w:val="0"/>
              <w:kinsoku/>
              <w:wordWrap/>
              <w:overflowPunct/>
              <w:topLinePunct/>
              <w:autoSpaceDE/>
              <w:autoSpaceDN/>
              <w:bidi w:val="0"/>
              <w:adjustRightInd/>
              <w:snapToGrid/>
              <w:spacing w:line="240" w:lineRule="auto"/>
              <w:contextualSpacing/>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项目概况及供应商</w:t>
            </w:r>
          </w:p>
          <w:p w14:paraId="29935602">
            <w:pPr>
              <w:keepNext w:val="0"/>
              <w:keepLines w:val="0"/>
              <w:pageBreakBefore w:val="0"/>
              <w:widowControl w:val="0"/>
              <w:kinsoku/>
              <w:wordWrap/>
              <w:overflowPunct/>
              <w:topLinePunct/>
              <w:autoSpaceDE/>
              <w:autoSpaceDN/>
              <w:bidi w:val="0"/>
              <w:adjustRightInd/>
              <w:snapToGrid/>
              <w:spacing w:line="240" w:lineRule="auto"/>
              <w:contextualSpacing/>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履约情况</w:t>
            </w:r>
          </w:p>
        </w:tc>
        <w:tc>
          <w:tcPr>
            <w:tcW w:w="3638" w:type="pct"/>
            <w:noWrap w:val="0"/>
            <w:vAlign w:val="center"/>
          </w:tcPr>
          <w:p w14:paraId="11C8886A">
            <w:pPr>
              <w:topLinePunct/>
              <w:spacing w:line="440" w:lineRule="exact"/>
              <w:contextualSpacing/>
              <w:rPr>
                <w:rFonts w:hint="eastAsia" w:ascii="宋体" w:hAnsi="宋体" w:eastAsia="宋体" w:cs="宋体"/>
                <w:color w:val="auto"/>
                <w:szCs w:val="21"/>
                <w:highlight w:val="none"/>
              </w:rPr>
            </w:pPr>
          </w:p>
          <w:p w14:paraId="6FE633CC">
            <w:pPr>
              <w:topLinePunct/>
              <w:spacing w:line="440" w:lineRule="exact"/>
              <w:contextualSpacing/>
              <w:rPr>
                <w:rFonts w:hint="eastAsia" w:ascii="宋体" w:hAnsi="宋体" w:eastAsia="宋体" w:cs="宋体"/>
                <w:color w:val="auto"/>
                <w:szCs w:val="21"/>
                <w:highlight w:val="none"/>
              </w:rPr>
            </w:pPr>
          </w:p>
        </w:tc>
      </w:tr>
      <w:tr w14:paraId="1C10D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1361" w:type="pct"/>
            <w:noWrap w:val="0"/>
            <w:vAlign w:val="center"/>
          </w:tcPr>
          <w:p w14:paraId="4A2A2364">
            <w:pPr>
              <w:keepNext w:val="0"/>
              <w:keepLines w:val="0"/>
              <w:pageBreakBefore w:val="0"/>
              <w:widowControl w:val="0"/>
              <w:kinsoku/>
              <w:wordWrap/>
              <w:overflowPunct/>
              <w:topLinePunct/>
              <w:autoSpaceDE/>
              <w:autoSpaceDN/>
              <w:bidi w:val="0"/>
              <w:adjustRightInd/>
              <w:snapToGrid/>
              <w:spacing w:line="240" w:lineRule="auto"/>
              <w:contextualSpacing/>
              <w:jc w:val="center"/>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运输金额（发票累计为准）</w:t>
            </w:r>
          </w:p>
        </w:tc>
        <w:tc>
          <w:tcPr>
            <w:tcW w:w="3638" w:type="pct"/>
            <w:noWrap w:val="0"/>
            <w:vAlign w:val="center"/>
          </w:tcPr>
          <w:p w14:paraId="57AFE471">
            <w:pPr>
              <w:topLinePunct/>
              <w:spacing w:line="440" w:lineRule="exact"/>
              <w:contextualSpacing/>
              <w:rPr>
                <w:rFonts w:hint="eastAsia" w:ascii="宋体" w:hAnsi="宋体" w:eastAsia="宋体" w:cs="宋体"/>
                <w:color w:val="auto"/>
                <w:szCs w:val="21"/>
                <w:highlight w:val="none"/>
              </w:rPr>
            </w:pPr>
          </w:p>
        </w:tc>
      </w:tr>
    </w:tbl>
    <w:p w14:paraId="6ECBC1FA">
      <w:pPr>
        <w:snapToGrid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2.附业绩合同扫描件（格式自拟）：</w:t>
      </w:r>
    </w:p>
    <w:p w14:paraId="132FD861">
      <w:pPr>
        <w:snapToGrid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3.对应业绩发票信息及发票扫描件：</w:t>
      </w:r>
    </w:p>
    <w:tbl>
      <w:tblPr>
        <w:tblStyle w:val="3"/>
        <w:tblW w:w="4999" w:type="pct"/>
        <w:jc w:val="center"/>
        <w:tblLayout w:type="autofit"/>
        <w:tblCellMar>
          <w:top w:w="0" w:type="dxa"/>
          <w:left w:w="108" w:type="dxa"/>
          <w:bottom w:w="0" w:type="dxa"/>
          <w:right w:w="108" w:type="dxa"/>
        </w:tblCellMar>
      </w:tblPr>
      <w:tblGrid>
        <w:gridCol w:w="1056"/>
        <w:gridCol w:w="1056"/>
        <w:gridCol w:w="1056"/>
        <w:gridCol w:w="1266"/>
        <w:gridCol w:w="4086"/>
      </w:tblGrid>
      <w:tr w14:paraId="154AC793">
        <w:tblPrEx>
          <w:tblCellMar>
            <w:top w:w="0" w:type="dxa"/>
            <w:left w:w="108" w:type="dxa"/>
            <w:bottom w:w="0" w:type="dxa"/>
            <w:right w:w="108" w:type="dxa"/>
          </w:tblCellMar>
        </w:tblPrEx>
        <w:trPr>
          <w:trHeight w:val="454" w:hRule="atLeast"/>
          <w:jc w:val="center"/>
        </w:trPr>
        <w:tc>
          <w:tcPr>
            <w:tcW w:w="417" w:type="pct"/>
            <w:tcBorders>
              <w:top w:val="single" w:color="000000" w:sz="4" w:space="0"/>
              <w:left w:val="single" w:color="000000" w:sz="4" w:space="0"/>
              <w:bottom w:val="single" w:color="000000" w:sz="4" w:space="0"/>
              <w:right w:val="single" w:color="000000" w:sz="4" w:space="0"/>
            </w:tcBorders>
            <w:noWrap/>
            <w:vAlign w:val="center"/>
          </w:tcPr>
          <w:p w14:paraId="06FAB1A7">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bidi="ar"/>
              </w:rPr>
              <w:t>合同名称</w:t>
            </w:r>
          </w:p>
        </w:tc>
        <w:tc>
          <w:tcPr>
            <w:tcW w:w="4582" w:type="pct"/>
            <w:gridSpan w:val="4"/>
            <w:tcBorders>
              <w:top w:val="single" w:color="000000" w:sz="4" w:space="0"/>
              <w:left w:val="single" w:color="000000" w:sz="4" w:space="0"/>
              <w:bottom w:val="single" w:color="000000" w:sz="4" w:space="0"/>
              <w:right w:val="single" w:color="000000" w:sz="4" w:space="0"/>
            </w:tcBorders>
            <w:noWrap/>
            <w:vAlign w:val="center"/>
          </w:tcPr>
          <w:p w14:paraId="5FC08139">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sz w:val="24"/>
                <w:szCs w:val="24"/>
                <w:highlight w:val="none"/>
              </w:rPr>
            </w:pPr>
          </w:p>
        </w:tc>
      </w:tr>
      <w:tr w14:paraId="79AA208D">
        <w:tblPrEx>
          <w:tblCellMar>
            <w:top w:w="0" w:type="dxa"/>
            <w:left w:w="108" w:type="dxa"/>
            <w:bottom w:w="0" w:type="dxa"/>
            <w:right w:w="108" w:type="dxa"/>
          </w:tblCellMar>
        </w:tblPrEx>
        <w:trPr>
          <w:trHeight w:val="454" w:hRule="atLeast"/>
          <w:jc w:val="center"/>
        </w:trPr>
        <w:tc>
          <w:tcPr>
            <w:tcW w:w="417" w:type="pct"/>
            <w:tcBorders>
              <w:top w:val="single" w:color="000000" w:sz="4" w:space="0"/>
              <w:left w:val="single" w:color="000000" w:sz="4" w:space="0"/>
              <w:bottom w:val="single" w:color="000000" w:sz="4" w:space="0"/>
              <w:right w:val="single" w:color="000000" w:sz="4" w:space="0"/>
            </w:tcBorders>
            <w:noWrap/>
            <w:vAlign w:val="center"/>
          </w:tcPr>
          <w:p w14:paraId="78D7665C">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bidi="ar"/>
              </w:rPr>
              <w:t>发票序号</w:t>
            </w:r>
          </w:p>
        </w:tc>
        <w:tc>
          <w:tcPr>
            <w:tcW w:w="454" w:type="pct"/>
            <w:tcBorders>
              <w:top w:val="single" w:color="000000" w:sz="4" w:space="0"/>
              <w:left w:val="single" w:color="000000" w:sz="4" w:space="0"/>
              <w:bottom w:val="single" w:color="000000" w:sz="4" w:space="0"/>
              <w:right w:val="single" w:color="000000" w:sz="4" w:space="0"/>
            </w:tcBorders>
            <w:noWrap/>
            <w:vAlign w:val="center"/>
          </w:tcPr>
          <w:p w14:paraId="45E3D99C">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bidi="ar"/>
              </w:rPr>
              <w:t>开票日期</w:t>
            </w:r>
          </w:p>
        </w:tc>
        <w:tc>
          <w:tcPr>
            <w:tcW w:w="433" w:type="pct"/>
            <w:tcBorders>
              <w:top w:val="single" w:color="000000" w:sz="4" w:space="0"/>
              <w:left w:val="single" w:color="000000" w:sz="4" w:space="0"/>
              <w:bottom w:val="single" w:color="000000" w:sz="4" w:space="0"/>
              <w:right w:val="single" w:color="000000" w:sz="4" w:space="0"/>
            </w:tcBorders>
            <w:noWrap/>
            <w:vAlign w:val="center"/>
          </w:tcPr>
          <w:p w14:paraId="50D1A560">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bidi="ar"/>
              </w:rPr>
              <w:t>发票号码</w:t>
            </w:r>
          </w:p>
        </w:tc>
        <w:tc>
          <w:tcPr>
            <w:tcW w:w="535" w:type="pct"/>
            <w:tcBorders>
              <w:top w:val="single" w:color="000000" w:sz="4" w:space="0"/>
              <w:left w:val="single" w:color="000000" w:sz="4" w:space="0"/>
              <w:bottom w:val="single" w:color="000000" w:sz="4" w:space="0"/>
              <w:right w:val="single" w:color="000000" w:sz="4" w:space="0"/>
            </w:tcBorders>
            <w:noWrap/>
            <w:vAlign w:val="center"/>
          </w:tcPr>
          <w:p w14:paraId="62DFF7AA">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bidi="ar"/>
              </w:rPr>
              <w:t>金额（元）</w:t>
            </w:r>
          </w:p>
        </w:tc>
        <w:tc>
          <w:tcPr>
            <w:tcW w:w="3159" w:type="pct"/>
            <w:tcBorders>
              <w:top w:val="single" w:color="000000" w:sz="4" w:space="0"/>
              <w:left w:val="single" w:color="000000" w:sz="4" w:space="0"/>
              <w:bottom w:val="single" w:color="000000" w:sz="4" w:space="0"/>
              <w:right w:val="single" w:color="000000" w:sz="4" w:space="0"/>
            </w:tcBorders>
            <w:noWrap/>
            <w:vAlign w:val="center"/>
          </w:tcPr>
          <w:p w14:paraId="6CD1D065">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eastAsia="宋体" w:cs="宋体"/>
                <w:color w:val="auto"/>
                <w:szCs w:val="21"/>
                <w:highlight w:val="none"/>
                <w:lang w:val="en-US" w:eastAsia="zh-CN"/>
              </w:rPr>
            </w:pPr>
            <w:r>
              <w:rPr>
                <w:rFonts w:hint="eastAsia" w:ascii="宋体" w:hAnsi="宋体" w:eastAsia="宋体" w:cs="宋体"/>
                <w:color w:val="auto"/>
                <w:kern w:val="0"/>
                <w:szCs w:val="21"/>
                <w:highlight w:val="none"/>
                <w:lang w:val="en-US" w:eastAsia="zh-CN" w:bidi="ar"/>
              </w:rPr>
              <w:t>发票扫描件</w:t>
            </w:r>
          </w:p>
        </w:tc>
      </w:tr>
      <w:tr w14:paraId="7A83EDCD">
        <w:tblPrEx>
          <w:tblCellMar>
            <w:top w:w="0" w:type="dxa"/>
            <w:left w:w="108" w:type="dxa"/>
            <w:bottom w:w="0" w:type="dxa"/>
            <w:right w:w="108" w:type="dxa"/>
          </w:tblCellMar>
        </w:tblPrEx>
        <w:trPr>
          <w:trHeight w:val="454" w:hRule="atLeast"/>
          <w:jc w:val="center"/>
        </w:trPr>
        <w:tc>
          <w:tcPr>
            <w:tcW w:w="417" w:type="pct"/>
            <w:tcBorders>
              <w:top w:val="single" w:color="000000" w:sz="4" w:space="0"/>
              <w:left w:val="single" w:color="000000" w:sz="4" w:space="0"/>
              <w:bottom w:val="single" w:color="000000" w:sz="4" w:space="0"/>
              <w:right w:val="single" w:color="000000" w:sz="4" w:space="0"/>
            </w:tcBorders>
            <w:noWrap/>
            <w:vAlign w:val="center"/>
          </w:tcPr>
          <w:p w14:paraId="31BD5998">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bidi="ar"/>
              </w:rPr>
              <w:t>1</w:t>
            </w:r>
          </w:p>
        </w:tc>
        <w:tc>
          <w:tcPr>
            <w:tcW w:w="454" w:type="pct"/>
            <w:tcBorders>
              <w:top w:val="single" w:color="000000" w:sz="4" w:space="0"/>
              <w:left w:val="single" w:color="000000" w:sz="4" w:space="0"/>
              <w:bottom w:val="single" w:color="000000" w:sz="4" w:space="0"/>
              <w:right w:val="single" w:color="000000" w:sz="4" w:space="0"/>
            </w:tcBorders>
            <w:noWrap/>
            <w:vAlign w:val="center"/>
          </w:tcPr>
          <w:p w14:paraId="64A46CD4">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szCs w:val="21"/>
                <w:highlight w:val="none"/>
              </w:rPr>
            </w:pPr>
          </w:p>
        </w:tc>
        <w:tc>
          <w:tcPr>
            <w:tcW w:w="433" w:type="pct"/>
            <w:tcBorders>
              <w:top w:val="single" w:color="000000" w:sz="4" w:space="0"/>
              <w:left w:val="single" w:color="000000" w:sz="4" w:space="0"/>
              <w:bottom w:val="single" w:color="000000" w:sz="4" w:space="0"/>
              <w:right w:val="single" w:color="000000" w:sz="4" w:space="0"/>
            </w:tcBorders>
            <w:noWrap/>
            <w:vAlign w:val="center"/>
          </w:tcPr>
          <w:p w14:paraId="6153A997">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szCs w:val="21"/>
                <w:highlight w:val="none"/>
              </w:rPr>
            </w:pPr>
          </w:p>
        </w:tc>
        <w:tc>
          <w:tcPr>
            <w:tcW w:w="535" w:type="pct"/>
            <w:tcBorders>
              <w:top w:val="single" w:color="000000" w:sz="4" w:space="0"/>
              <w:left w:val="single" w:color="000000" w:sz="4" w:space="0"/>
              <w:bottom w:val="single" w:color="000000" w:sz="4" w:space="0"/>
              <w:right w:val="single" w:color="000000" w:sz="4" w:space="0"/>
            </w:tcBorders>
            <w:noWrap/>
            <w:vAlign w:val="center"/>
          </w:tcPr>
          <w:p w14:paraId="3579D526">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szCs w:val="21"/>
                <w:highlight w:val="none"/>
              </w:rPr>
            </w:pPr>
          </w:p>
        </w:tc>
        <w:tc>
          <w:tcPr>
            <w:tcW w:w="3159" w:type="pct"/>
            <w:tcBorders>
              <w:top w:val="single" w:color="000000" w:sz="4" w:space="0"/>
              <w:left w:val="single" w:color="000000" w:sz="4" w:space="0"/>
              <w:bottom w:val="single" w:color="000000" w:sz="4" w:space="0"/>
              <w:right w:val="single" w:color="000000" w:sz="4" w:space="0"/>
            </w:tcBorders>
            <w:noWrap/>
            <w:vAlign w:val="center"/>
          </w:tcPr>
          <w:p w14:paraId="41E0576B">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szCs w:val="21"/>
                <w:highlight w:val="none"/>
              </w:rPr>
            </w:pPr>
          </w:p>
        </w:tc>
      </w:tr>
      <w:tr w14:paraId="79E37A80">
        <w:tblPrEx>
          <w:tblCellMar>
            <w:top w:w="0" w:type="dxa"/>
            <w:left w:w="108" w:type="dxa"/>
            <w:bottom w:w="0" w:type="dxa"/>
            <w:right w:w="108" w:type="dxa"/>
          </w:tblCellMar>
        </w:tblPrEx>
        <w:trPr>
          <w:trHeight w:val="454" w:hRule="atLeast"/>
          <w:jc w:val="center"/>
        </w:trPr>
        <w:tc>
          <w:tcPr>
            <w:tcW w:w="417" w:type="pct"/>
            <w:tcBorders>
              <w:top w:val="single" w:color="000000" w:sz="4" w:space="0"/>
              <w:left w:val="single" w:color="000000" w:sz="4" w:space="0"/>
              <w:bottom w:val="single" w:color="000000" w:sz="4" w:space="0"/>
              <w:right w:val="single" w:color="000000" w:sz="4" w:space="0"/>
            </w:tcBorders>
            <w:noWrap/>
            <w:vAlign w:val="center"/>
          </w:tcPr>
          <w:p w14:paraId="251EC2AA">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bidi="ar"/>
              </w:rPr>
              <w:t>2</w:t>
            </w:r>
          </w:p>
        </w:tc>
        <w:tc>
          <w:tcPr>
            <w:tcW w:w="454" w:type="pct"/>
            <w:tcBorders>
              <w:top w:val="single" w:color="000000" w:sz="4" w:space="0"/>
              <w:left w:val="single" w:color="000000" w:sz="4" w:space="0"/>
              <w:bottom w:val="single" w:color="000000" w:sz="4" w:space="0"/>
              <w:right w:val="single" w:color="000000" w:sz="4" w:space="0"/>
            </w:tcBorders>
            <w:noWrap/>
            <w:vAlign w:val="center"/>
          </w:tcPr>
          <w:p w14:paraId="1FDF99AD">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szCs w:val="21"/>
                <w:highlight w:val="none"/>
              </w:rPr>
            </w:pPr>
          </w:p>
        </w:tc>
        <w:tc>
          <w:tcPr>
            <w:tcW w:w="433" w:type="pct"/>
            <w:tcBorders>
              <w:top w:val="single" w:color="000000" w:sz="4" w:space="0"/>
              <w:left w:val="single" w:color="000000" w:sz="4" w:space="0"/>
              <w:bottom w:val="single" w:color="000000" w:sz="4" w:space="0"/>
              <w:right w:val="single" w:color="000000" w:sz="4" w:space="0"/>
            </w:tcBorders>
            <w:noWrap/>
            <w:vAlign w:val="center"/>
          </w:tcPr>
          <w:p w14:paraId="2BD8F789">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szCs w:val="21"/>
                <w:highlight w:val="none"/>
              </w:rPr>
            </w:pPr>
          </w:p>
        </w:tc>
        <w:tc>
          <w:tcPr>
            <w:tcW w:w="535" w:type="pct"/>
            <w:tcBorders>
              <w:top w:val="single" w:color="000000" w:sz="4" w:space="0"/>
              <w:left w:val="single" w:color="000000" w:sz="4" w:space="0"/>
              <w:bottom w:val="single" w:color="000000" w:sz="4" w:space="0"/>
              <w:right w:val="single" w:color="000000" w:sz="4" w:space="0"/>
            </w:tcBorders>
            <w:noWrap/>
            <w:vAlign w:val="center"/>
          </w:tcPr>
          <w:p w14:paraId="5C4EE987">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szCs w:val="21"/>
                <w:highlight w:val="none"/>
              </w:rPr>
            </w:pPr>
          </w:p>
        </w:tc>
        <w:tc>
          <w:tcPr>
            <w:tcW w:w="3159" w:type="pct"/>
            <w:tcBorders>
              <w:top w:val="single" w:color="000000" w:sz="4" w:space="0"/>
              <w:left w:val="single" w:color="000000" w:sz="4" w:space="0"/>
              <w:bottom w:val="single" w:color="000000" w:sz="4" w:space="0"/>
              <w:right w:val="single" w:color="000000" w:sz="4" w:space="0"/>
            </w:tcBorders>
            <w:noWrap/>
            <w:vAlign w:val="center"/>
          </w:tcPr>
          <w:p w14:paraId="6D35FBD5">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szCs w:val="21"/>
                <w:highlight w:val="none"/>
              </w:rPr>
            </w:pPr>
          </w:p>
        </w:tc>
      </w:tr>
      <w:tr w14:paraId="70FFEDA1">
        <w:tblPrEx>
          <w:tblCellMar>
            <w:top w:w="0" w:type="dxa"/>
            <w:left w:w="108" w:type="dxa"/>
            <w:bottom w:w="0" w:type="dxa"/>
            <w:right w:w="108" w:type="dxa"/>
          </w:tblCellMar>
        </w:tblPrEx>
        <w:trPr>
          <w:trHeight w:val="454" w:hRule="atLeast"/>
          <w:jc w:val="center"/>
        </w:trPr>
        <w:tc>
          <w:tcPr>
            <w:tcW w:w="417" w:type="pct"/>
            <w:tcBorders>
              <w:top w:val="single" w:color="000000" w:sz="4" w:space="0"/>
              <w:left w:val="single" w:color="000000" w:sz="4" w:space="0"/>
              <w:bottom w:val="single" w:color="000000" w:sz="4" w:space="0"/>
              <w:right w:val="single" w:color="000000" w:sz="4" w:space="0"/>
            </w:tcBorders>
            <w:noWrap/>
            <w:vAlign w:val="center"/>
          </w:tcPr>
          <w:p w14:paraId="6ECA6ED4">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3</w:t>
            </w:r>
          </w:p>
        </w:tc>
        <w:tc>
          <w:tcPr>
            <w:tcW w:w="454" w:type="pct"/>
            <w:tcBorders>
              <w:top w:val="single" w:color="000000" w:sz="4" w:space="0"/>
              <w:left w:val="single" w:color="000000" w:sz="4" w:space="0"/>
              <w:bottom w:val="single" w:color="000000" w:sz="4" w:space="0"/>
              <w:right w:val="single" w:color="000000" w:sz="4" w:space="0"/>
            </w:tcBorders>
            <w:noWrap/>
            <w:vAlign w:val="center"/>
          </w:tcPr>
          <w:p w14:paraId="1C73B38B">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szCs w:val="21"/>
                <w:highlight w:val="none"/>
              </w:rPr>
            </w:pPr>
          </w:p>
        </w:tc>
        <w:tc>
          <w:tcPr>
            <w:tcW w:w="433" w:type="pct"/>
            <w:tcBorders>
              <w:top w:val="single" w:color="000000" w:sz="4" w:space="0"/>
              <w:left w:val="single" w:color="000000" w:sz="4" w:space="0"/>
              <w:bottom w:val="single" w:color="000000" w:sz="4" w:space="0"/>
              <w:right w:val="single" w:color="000000" w:sz="4" w:space="0"/>
            </w:tcBorders>
            <w:noWrap/>
            <w:vAlign w:val="center"/>
          </w:tcPr>
          <w:p w14:paraId="1E7F4301">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szCs w:val="21"/>
                <w:highlight w:val="none"/>
              </w:rPr>
            </w:pPr>
          </w:p>
        </w:tc>
        <w:tc>
          <w:tcPr>
            <w:tcW w:w="535" w:type="pct"/>
            <w:tcBorders>
              <w:top w:val="single" w:color="000000" w:sz="4" w:space="0"/>
              <w:left w:val="single" w:color="000000" w:sz="4" w:space="0"/>
              <w:bottom w:val="single" w:color="000000" w:sz="4" w:space="0"/>
              <w:right w:val="single" w:color="000000" w:sz="4" w:space="0"/>
            </w:tcBorders>
            <w:noWrap/>
            <w:vAlign w:val="center"/>
          </w:tcPr>
          <w:p w14:paraId="7B239665">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szCs w:val="21"/>
                <w:highlight w:val="none"/>
              </w:rPr>
            </w:pPr>
          </w:p>
        </w:tc>
        <w:tc>
          <w:tcPr>
            <w:tcW w:w="3159" w:type="pct"/>
            <w:tcBorders>
              <w:top w:val="single" w:color="000000" w:sz="4" w:space="0"/>
              <w:left w:val="single" w:color="000000" w:sz="4" w:space="0"/>
              <w:bottom w:val="single" w:color="000000" w:sz="4" w:space="0"/>
              <w:right w:val="single" w:color="000000" w:sz="4" w:space="0"/>
            </w:tcBorders>
            <w:noWrap/>
            <w:vAlign w:val="center"/>
          </w:tcPr>
          <w:p w14:paraId="237A87FC">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szCs w:val="21"/>
                <w:highlight w:val="none"/>
              </w:rPr>
            </w:pPr>
          </w:p>
        </w:tc>
      </w:tr>
      <w:tr w14:paraId="52063973">
        <w:tblPrEx>
          <w:tblCellMar>
            <w:top w:w="0" w:type="dxa"/>
            <w:left w:w="108" w:type="dxa"/>
            <w:bottom w:w="0" w:type="dxa"/>
            <w:right w:w="108" w:type="dxa"/>
          </w:tblCellMar>
        </w:tblPrEx>
        <w:trPr>
          <w:trHeight w:val="454" w:hRule="atLeast"/>
          <w:jc w:val="center"/>
        </w:trPr>
        <w:tc>
          <w:tcPr>
            <w:tcW w:w="417" w:type="pct"/>
            <w:tcBorders>
              <w:top w:val="single" w:color="000000" w:sz="4" w:space="0"/>
              <w:left w:val="single" w:color="000000" w:sz="4" w:space="0"/>
              <w:bottom w:val="single" w:color="000000" w:sz="4" w:space="0"/>
              <w:right w:val="single" w:color="000000" w:sz="4" w:space="0"/>
            </w:tcBorders>
            <w:noWrap/>
            <w:vAlign w:val="center"/>
          </w:tcPr>
          <w:p w14:paraId="71D223AB">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bidi="ar"/>
              </w:rPr>
              <w:t>...</w:t>
            </w:r>
          </w:p>
        </w:tc>
        <w:tc>
          <w:tcPr>
            <w:tcW w:w="454" w:type="pct"/>
            <w:tcBorders>
              <w:top w:val="single" w:color="000000" w:sz="4" w:space="0"/>
              <w:left w:val="single" w:color="000000" w:sz="4" w:space="0"/>
              <w:bottom w:val="single" w:color="000000" w:sz="4" w:space="0"/>
              <w:right w:val="single" w:color="000000" w:sz="4" w:space="0"/>
            </w:tcBorders>
            <w:noWrap/>
            <w:vAlign w:val="center"/>
          </w:tcPr>
          <w:p w14:paraId="18B04184">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szCs w:val="21"/>
                <w:highlight w:val="none"/>
              </w:rPr>
            </w:pPr>
          </w:p>
        </w:tc>
        <w:tc>
          <w:tcPr>
            <w:tcW w:w="433" w:type="pct"/>
            <w:tcBorders>
              <w:top w:val="single" w:color="000000" w:sz="4" w:space="0"/>
              <w:left w:val="single" w:color="000000" w:sz="4" w:space="0"/>
              <w:bottom w:val="single" w:color="000000" w:sz="4" w:space="0"/>
              <w:right w:val="single" w:color="000000" w:sz="4" w:space="0"/>
            </w:tcBorders>
            <w:noWrap/>
            <w:vAlign w:val="center"/>
          </w:tcPr>
          <w:p w14:paraId="5C5F4792">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szCs w:val="21"/>
                <w:highlight w:val="none"/>
              </w:rPr>
            </w:pPr>
          </w:p>
        </w:tc>
        <w:tc>
          <w:tcPr>
            <w:tcW w:w="535" w:type="pct"/>
            <w:tcBorders>
              <w:top w:val="single" w:color="000000" w:sz="4" w:space="0"/>
              <w:left w:val="single" w:color="000000" w:sz="4" w:space="0"/>
              <w:bottom w:val="single" w:color="000000" w:sz="4" w:space="0"/>
              <w:right w:val="single" w:color="000000" w:sz="4" w:space="0"/>
            </w:tcBorders>
            <w:noWrap/>
            <w:vAlign w:val="center"/>
          </w:tcPr>
          <w:p w14:paraId="4F35F4CD">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szCs w:val="21"/>
                <w:highlight w:val="none"/>
              </w:rPr>
            </w:pPr>
          </w:p>
        </w:tc>
        <w:tc>
          <w:tcPr>
            <w:tcW w:w="3159" w:type="pct"/>
            <w:tcBorders>
              <w:top w:val="single" w:color="000000" w:sz="4" w:space="0"/>
              <w:left w:val="single" w:color="000000" w:sz="4" w:space="0"/>
              <w:bottom w:val="single" w:color="000000" w:sz="4" w:space="0"/>
              <w:right w:val="single" w:color="000000" w:sz="4" w:space="0"/>
            </w:tcBorders>
            <w:noWrap/>
            <w:vAlign w:val="center"/>
          </w:tcPr>
          <w:p w14:paraId="29E0FEE7">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szCs w:val="21"/>
                <w:highlight w:val="none"/>
              </w:rPr>
            </w:pPr>
          </w:p>
        </w:tc>
      </w:tr>
      <w:tr w14:paraId="6C1817DC">
        <w:tblPrEx>
          <w:tblCellMar>
            <w:top w:w="0" w:type="dxa"/>
            <w:left w:w="108" w:type="dxa"/>
            <w:bottom w:w="0" w:type="dxa"/>
            <w:right w:w="108" w:type="dxa"/>
          </w:tblCellMar>
        </w:tblPrEx>
        <w:trPr>
          <w:trHeight w:val="440" w:hRule="atLeast"/>
          <w:jc w:val="center"/>
        </w:trPr>
        <w:tc>
          <w:tcPr>
            <w:tcW w:w="1305" w:type="pct"/>
            <w:gridSpan w:val="3"/>
            <w:tcBorders>
              <w:top w:val="single" w:color="000000" w:sz="4" w:space="0"/>
              <w:left w:val="single" w:color="000000" w:sz="4" w:space="0"/>
              <w:bottom w:val="single" w:color="000000" w:sz="4" w:space="0"/>
              <w:right w:val="single" w:color="000000" w:sz="4" w:space="0"/>
            </w:tcBorders>
            <w:noWrap/>
            <w:vAlign w:val="center"/>
          </w:tcPr>
          <w:p w14:paraId="773137DB">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eastAsia="宋体" w:cs="宋体"/>
                <w:color w:val="auto"/>
                <w:szCs w:val="21"/>
                <w:highlight w:val="none"/>
              </w:rPr>
            </w:pPr>
            <w:r>
              <w:rPr>
                <w:rFonts w:hint="eastAsia" w:ascii="宋体" w:hAnsi="宋体" w:eastAsia="宋体" w:cs="宋体"/>
                <w:b/>
                <w:bCs/>
                <w:color w:val="auto"/>
                <w:kern w:val="0"/>
                <w:szCs w:val="21"/>
                <w:highlight w:val="none"/>
                <w:lang w:bidi="ar"/>
              </w:rPr>
              <w:t>合计金额（元）</w:t>
            </w:r>
          </w:p>
        </w:tc>
        <w:tc>
          <w:tcPr>
            <w:tcW w:w="535" w:type="pct"/>
            <w:tcBorders>
              <w:top w:val="single" w:color="000000" w:sz="4" w:space="0"/>
              <w:left w:val="single" w:color="000000" w:sz="4" w:space="0"/>
              <w:bottom w:val="single" w:color="000000" w:sz="4" w:space="0"/>
              <w:right w:val="single" w:color="000000" w:sz="4" w:space="0"/>
            </w:tcBorders>
            <w:noWrap/>
            <w:vAlign w:val="center"/>
          </w:tcPr>
          <w:p w14:paraId="370BE8FE">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szCs w:val="21"/>
                <w:highlight w:val="none"/>
              </w:rPr>
            </w:pPr>
          </w:p>
        </w:tc>
        <w:tc>
          <w:tcPr>
            <w:tcW w:w="3159" w:type="pct"/>
            <w:tcBorders>
              <w:top w:val="single" w:color="000000" w:sz="4" w:space="0"/>
              <w:left w:val="single" w:color="000000" w:sz="4" w:space="0"/>
              <w:bottom w:val="single" w:color="000000" w:sz="4" w:space="0"/>
              <w:right w:val="single" w:color="000000" w:sz="4" w:space="0"/>
            </w:tcBorders>
            <w:noWrap/>
            <w:vAlign w:val="center"/>
          </w:tcPr>
          <w:p w14:paraId="64924296">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w:t>
            </w:r>
          </w:p>
        </w:tc>
      </w:tr>
    </w:tbl>
    <w:p w14:paraId="6091C4A2">
      <w:pPr>
        <w:snapToGrid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提供2023年-2025年运输明细账电脑截图（每年各提供1份任意月份截图，共3份），每页截图均须加盖供应商公章；若供应商成立不满3年，提供成立以来的资料。证明材料要求：提供对应合同下加盖公章的运输明细账截图。</w:t>
      </w:r>
    </w:p>
    <w:p w14:paraId="3E41AAA6">
      <w:pPr>
        <w:snapToGrid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5.各采购包的专用业绩要求详见公告。</w:t>
      </w:r>
    </w:p>
    <w:p w14:paraId="263CD45E">
      <w:pPr>
        <w:snapToGrid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注：（1）多个业绩的供应商自行增加；（2）业绩要求详见采购公告。</w:t>
      </w:r>
    </w:p>
    <w:p w14:paraId="429CF319">
      <w:pPr>
        <w:rPr>
          <w:rFonts w:hint="eastAsia" w:ascii="宋体" w:hAnsi="宋体" w:eastAsia="宋体" w:cs="宋体"/>
          <w:b/>
          <w:bCs/>
          <w:snapToGrid w:val="0"/>
          <w:color w:val="auto"/>
          <w:kern w:val="0"/>
          <w:sz w:val="24"/>
          <w:highlight w:val="none"/>
          <w:lang w:bidi="en-US"/>
        </w:rPr>
      </w:pPr>
      <w:r>
        <w:rPr>
          <w:rFonts w:hint="eastAsia" w:ascii="宋体" w:hAnsi="宋体" w:eastAsia="宋体" w:cs="宋体"/>
          <w:b w:val="0"/>
          <w:bCs w:val="0"/>
          <w:snapToGrid w:val="0"/>
          <w:color w:val="auto"/>
          <w:kern w:val="0"/>
          <w:sz w:val="24"/>
          <w:highlight w:val="none"/>
          <w:lang w:val="en-US" w:eastAsia="zh-CN" w:bidi="en-US"/>
        </w:rPr>
        <w:br w:type="page"/>
      </w:r>
      <w:r>
        <w:rPr>
          <w:rFonts w:hint="eastAsia" w:ascii="宋体" w:hAnsi="宋体" w:eastAsia="宋体" w:cs="宋体"/>
          <w:b/>
          <w:bCs/>
          <w:snapToGrid w:val="0"/>
          <w:color w:val="auto"/>
          <w:kern w:val="0"/>
          <w:sz w:val="24"/>
          <w:highlight w:val="none"/>
          <w:lang w:bidi="en-US"/>
        </w:rPr>
        <w:t>附件</w:t>
      </w:r>
      <w:r>
        <w:rPr>
          <w:rFonts w:hint="eastAsia" w:ascii="宋体" w:hAnsi="宋体" w:eastAsia="宋体" w:cs="宋体"/>
          <w:b/>
          <w:bCs/>
          <w:snapToGrid w:val="0"/>
          <w:color w:val="auto"/>
          <w:kern w:val="0"/>
          <w:sz w:val="24"/>
          <w:highlight w:val="none"/>
          <w:lang w:val="en-US" w:eastAsia="zh-CN" w:bidi="en-US"/>
        </w:rPr>
        <w:t>4车辆要求</w:t>
      </w:r>
      <w:r>
        <w:rPr>
          <w:rFonts w:hint="eastAsia" w:ascii="宋体" w:hAnsi="宋体" w:eastAsia="宋体" w:cs="宋体"/>
          <w:b/>
          <w:bCs/>
          <w:snapToGrid w:val="0"/>
          <w:color w:val="auto"/>
          <w:kern w:val="0"/>
          <w:sz w:val="24"/>
          <w:highlight w:val="none"/>
          <w:lang w:bidi="en-US"/>
        </w:rPr>
        <w:t>：</w:t>
      </w:r>
    </w:p>
    <w:p w14:paraId="15C1B303">
      <w:pPr>
        <w:snapToGrid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1.承诺函</w:t>
      </w:r>
    </w:p>
    <w:p w14:paraId="19706234">
      <w:pPr>
        <w:widowControl/>
        <w:spacing w:line="360" w:lineRule="auto"/>
        <w:ind w:firstLine="422" w:firstLineChars="200"/>
        <w:jc w:val="center"/>
        <w:rPr>
          <w:rFonts w:hint="eastAsia" w:ascii="宋体" w:hAnsi="宋体" w:eastAsia="宋体" w:cs="宋体"/>
          <w:color w:val="auto"/>
          <w:kern w:val="0"/>
          <w:szCs w:val="21"/>
          <w:highlight w:val="none"/>
          <w:lang w:bidi="ar"/>
        </w:rPr>
      </w:pPr>
      <w:r>
        <w:rPr>
          <w:rFonts w:hint="eastAsia" w:ascii="宋体" w:hAnsi="宋体" w:eastAsia="宋体" w:cs="宋体"/>
          <w:b/>
          <w:bCs/>
          <w:color w:val="auto"/>
          <w:szCs w:val="21"/>
          <w:highlight w:val="none"/>
          <w:lang w:val="en-US" w:eastAsia="zh-CN" w:bidi="ar"/>
        </w:rPr>
        <w:t>车辆</w:t>
      </w:r>
      <w:r>
        <w:rPr>
          <w:rFonts w:hint="eastAsia" w:ascii="宋体" w:hAnsi="宋体" w:eastAsia="宋体" w:cs="宋体"/>
          <w:b/>
          <w:bCs/>
          <w:color w:val="auto"/>
          <w:szCs w:val="21"/>
          <w:highlight w:val="none"/>
          <w:lang w:bidi="ar"/>
        </w:rPr>
        <w:t>承诺函</w:t>
      </w:r>
    </w:p>
    <w:p w14:paraId="3F1285D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本单位郑重承诺，本单位具有运营车辆不低于5辆，车辆符合排放标准，且所有提供服务的车辆均配备有运行正常的GPS或北斗定位设备。</w:t>
      </w:r>
    </w:p>
    <w:p w14:paraId="6D334CB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本单位对上述声明的真实性负责，如有虚假，将依法承担相应责任。后附证明材料。</w:t>
      </w:r>
    </w:p>
    <w:p w14:paraId="0755EBB2">
      <w:pPr>
        <w:wordWrap w:val="0"/>
        <w:spacing w:line="360" w:lineRule="auto"/>
        <w:ind w:right="-20" w:firstLine="3120" w:firstLineChars="1300"/>
        <w:jc w:val="right"/>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rPr>
        <w:t>供应商：</w:t>
      </w:r>
      <w:r>
        <w:rPr>
          <w:rFonts w:hint="eastAsia" w:ascii="宋体" w:hAnsi="宋体" w:eastAsia="宋体" w:cs="宋体"/>
          <w:snapToGrid w:val="0"/>
          <w:color w:val="auto"/>
          <w:kern w:val="0"/>
          <w:sz w:val="24"/>
          <w:szCs w:val="24"/>
          <w:highlight w:val="none"/>
          <w:u w:val="single"/>
        </w:rPr>
        <w:t xml:space="preserve">  </w:t>
      </w:r>
      <w:r>
        <w:rPr>
          <w:rFonts w:hint="eastAsia" w:ascii="宋体" w:hAnsi="宋体" w:eastAsia="宋体" w:cs="宋体"/>
          <w:snapToGrid w:val="0"/>
          <w:color w:val="auto"/>
          <w:sz w:val="24"/>
          <w:szCs w:val="24"/>
          <w:highlight w:val="none"/>
          <w:u w:val="single"/>
        </w:rPr>
        <w:t xml:space="preserve">           </w:t>
      </w:r>
      <w:r>
        <w:rPr>
          <w:rFonts w:hint="eastAsia" w:ascii="宋体" w:hAnsi="宋体" w:eastAsia="宋体" w:cs="宋体"/>
          <w:snapToGrid w:val="0"/>
          <w:color w:val="auto"/>
          <w:kern w:val="0"/>
          <w:sz w:val="24"/>
          <w:szCs w:val="24"/>
          <w:highlight w:val="none"/>
          <w:u w:val="single"/>
        </w:rPr>
        <w:t xml:space="preserve">  </w:t>
      </w:r>
      <w:r>
        <w:rPr>
          <w:rFonts w:hint="eastAsia" w:ascii="宋体" w:hAnsi="宋体" w:eastAsia="宋体" w:cs="宋体"/>
          <w:snapToGrid w:val="0"/>
          <w:color w:val="auto"/>
          <w:sz w:val="24"/>
          <w:szCs w:val="24"/>
          <w:highlight w:val="none"/>
          <w:u w:val="single"/>
        </w:rPr>
        <w:t xml:space="preserve">  </w:t>
      </w:r>
      <w:r>
        <w:rPr>
          <w:rFonts w:hint="eastAsia" w:ascii="宋体" w:hAnsi="宋体" w:eastAsia="宋体" w:cs="宋体"/>
          <w:snapToGrid w:val="0"/>
          <w:color w:val="auto"/>
          <w:kern w:val="0"/>
          <w:sz w:val="24"/>
          <w:szCs w:val="24"/>
          <w:highlight w:val="none"/>
        </w:rPr>
        <w:t>（加盖单位</w:t>
      </w:r>
      <w:r>
        <w:rPr>
          <w:rFonts w:hint="eastAsia" w:ascii="宋体" w:hAnsi="宋体" w:eastAsia="宋体" w:cs="宋体"/>
          <w:snapToGrid w:val="0"/>
          <w:color w:val="auto"/>
          <w:kern w:val="0"/>
          <w:sz w:val="24"/>
          <w:szCs w:val="24"/>
          <w:highlight w:val="none"/>
          <w:lang w:val="en-US" w:eastAsia="zh-CN"/>
        </w:rPr>
        <w:t>公</w:t>
      </w:r>
      <w:r>
        <w:rPr>
          <w:rFonts w:hint="eastAsia" w:ascii="宋体" w:hAnsi="宋体" w:eastAsia="宋体" w:cs="宋体"/>
          <w:snapToGrid w:val="0"/>
          <w:color w:val="auto"/>
          <w:kern w:val="0"/>
          <w:sz w:val="24"/>
          <w:szCs w:val="24"/>
          <w:highlight w:val="none"/>
        </w:rPr>
        <w:t>章）</w:t>
      </w:r>
    </w:p>
    <w:p w14:paraId="5331767D">
      <w:pPr>
        <w:wordWrap w:val="0"/>
        <w:spacing w:before="34" w:line="360" w:lineRule="auto"/>
        <w:ind w:left="5516" w:right="-20"/>
        <w:jc w:val="right"/>
        <w:rPr>
          <w:rFonts w:hint="eastAsia" w:ascii="宋体" w:hAnsi="宋体" w:eastAsia="宋体" w:cs="宋体"/>
          <w:color w:val="auto"/>
          <w:sz w:val="24"/>
          <w:szCs w:val="24"/>
          <w:highlight w:val="none"/>
          <w:lang w:val="en-US" w:eastAsia="zh-CN"/>
        </w:rPr>
      </w:pPr>
      <w:r>
        <w:rPr>
          <w:rFonts w:hint="eastAsia" w:ascii="宋体" w:hAnsi="宋体" w:eastAsia="宋体" w:cs="宋体"/>
          <w:snapToGrid w:val="0"/>
          <w:color w:val="auto"/>
          <w:sz w:val="24"/>
          <w:szCs w:val="24"/>
          <w:highlight w:val="none"/>
          <w:u w:val="single"/>
        </w:rPr>
        <w:t xml:space="preserve">   </w:t>
      </w:r>
      <w:r>
        <w:rPr>
          <w:rFonts w:hint="eastAsia" w:ascii="宋体" w:hAnsi="宋体" w:eastAsia="宋体" w:cs="宋体"/>
          <w:snapToGrid w:val="0"/>
          <w:color w:val="auto"/>
          <w:kern w:val="0"/>
          <w:sz w:val="24"/>
          <w:szCs w:val="24"/>
          <w:highlight w:val="none"/>
          <w:u w:val="single"/>
        </w:rPr>
        <w:t xml:space="preserve">  </w:t>
      </w:r>
      <w:r>
        <w:rPr>
          <w:rFonts w:hint="eastAsia" w:ascii="宋体" w:hAnsi="宋体" w:eastAsia="宋体" w:cs="宋体"/>
          <w:snapToGrid w:val="0"/>
          <w:color w:val="auto"/>
          <w:kern w:val="0"/>
          <w:sz w:val="24"/>
          <w:szCs w:val="24"/>
          <w:highlight w:val="none"/>
        </w:rPr>
        <w:t>年</w:t>
      </w:r>
      <w:r>
        <w:rPr>
          <w:rFonts w:hint="eastAsia" w:ascii="宋体" w:hAnsi="宋体" w:eastAsia="宋体" w:cs="宋体"/>
          <w:snapToGrid w:val="0"/>
          <w:color w:val="auto"/>
          <w:sz w:val="24"/>
          <w:szCs w:val="24"/>
          <w:highlight w:val="none"/>
          <w:u w:val="single"/>
        </w:rPr>
        <w:t xml:space="preserve">   </w:t>
      </w:r>
      <w:r>
        <w:rPr>
          <w:rFonts w:hint="eastAsia" w:ascii="宋体" w:hAnsi="宋体" w:eastAsia="宋体" w:cs="宋体"/>
          <w:snapToGrid w:val="0"/>
          <w:color w:val="auto"/>
          <w:kern w:val="0"/>
          <w:sz w:val="24"/>
          <w:szCs w:val="24"/>
          <w:highlight w:val="none"/>
          <w:u w:val="single"/>
        </w:rPr>
        <w:t xml:space="preserve">  </w:t>
      </w:r>
      <w:r>
        <w:rPr>
          <w:rFonts w:hint="eastAsia" w:ascii="宋体" w:hAnsi="宋体" w:eastAsia="宋体" w:cs="宋体"/>
          <w:snapToGrid w:val="0"/>
          <w:color w:val="auto"/>
          <w:kern w:val="0"/>
          <w:sz w:val="24"/>
          <w:szCs w:val="24"/>
          <w:highlight w:val="none"/>
        </w:rPr>
        <w:t>月</w:t>
      </w:r>
      <w:r>
        <w:rPr>
          <w:rFonts w:hint="eastAsia" w:ascii="宋体" w:hAnsi="宋体" w:eastAsia="宋体" w:cs="宋体"/>
          <w:snapToGrid w:val="0"/>
          <w:color w:val="auto"/>
          <w:sz w:val="24"/>
          <w:szCs w:val="24"/>
          <w:highlight w:val="none"/>
          <w:u w:val="single"/>
        </w:rPr>
        <w:t xml:space="preserve">   </w:t>
      </w:r>
      <w:r>
        <w:rPr>
          <w:rFonts w:hint="eastAsia" w:ascii="宋体" w:hAnsi="宋体" w:eastAsia="宋体" w:cs="宋体"/>
          <w:snapToGrid w:val="0"/>
          <w:color w:val="auto"/>
          <w:kern w:val="0"/>
          <w:sz w:val="24"/>
          <w:szCs w:val="24"/>
          <w:highlight w:val="none"/>
          <w:u w:val="single"/>
        </w:rPr>
        <w:t xml:space="preserve">  </w:t>
      </w:r>
      <w:r>
        <w:rPr>
          <w:rFonts w:hint="eastAsia" w:ascii="宋体" w:hAnsi="宋体" w:eastAsia="宋体" w:cs="宋体"/>
          <w:snapToGrid w:val="0"/>
          <w:color w:val="auto"/>
          <w:kern w:val="0"/>
          <w:sz w:val="24"/>
          <w:szCs w:val="24"/>
          <w:highlight w:val="none"/>
        </w:rPr>
        <w:t>日</w:t>
      </w:r>
    </w:p>
    <w:p w14:paraId="10614E26">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2.车辆信息表</w:t>
      </w:r>
    </w:p>
    <w:p w14:paraId="0897FAE9">
      <w:pPr>
        <w:spacing w:line="360" w:lineRule="auto"/>
        <w:jc w:val="center"/>
        <w:rPr>
          <w:rFonts w:hint="eastAsia" w:ascii="宋体" w:hAnsi="宋体" w:eastAsia="宋体" w:cs="宋体"/>
          <w:b/>
          <w:bCs w:val="0"/>
          <w:color w:val="auto"/>
          <w:sz w:val="22"/>
          <w:szCs w:val="22"/>
          <w:highlight w:val="none"/>
        </w:rPr>
      </w:pPr>
      <w:r>
        <w:rPr>
          <w:rFonts w:hint="eastAsia" w:ascii="宋体" w:hAnsi="宋体" w:eastAsia="宋体" w:cs="宋体"/>
          <w:b/>
          <w:bCs w:val="0"/>
          <w:color w:val="auto"/>
          <w:sz w:val="22"/>
          <w:szCs w:val="22"/>
          <w:highlight w:val="none"/>
        </w:rPr>
        <w:t>车辆具体信息表</w:t>
      </w:r>
    </w:p>
    <w:tbl>
      <w:tblPr>
        <w:tblStyle w:val="3"/>
        <w:tblW w:w="499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86"/>
        <w:gridCol w:w="427"/>
        <w:gridCol w:w="1000"/>
        <w:gridCol w:w="885"/>
        <w:gridCol w:w="3755"/>
        <w:gridCol w:w="1866"/>
      </w:tblGrid>
      <w:tr w14:paraId="3F0AD3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77" w:hRule="atLeast"/>
          <w:jc w:val="center"/>
        </w:trPr>
        <w:tc>
          <w:tcPr>
            <w:tcW w:w="345" w:type="pct"/>
            <w:noWrap w:val="0"/>
            <w:vAlign w:val="center"/>
          </w:tcPr>
          <w:p w14:paraId="72D5474E">
            <w:pPr>
              <w:jc w:val="center"/>
              <w:rPr>
                <w:rFonts w:hint="eastAsia" w:ascii="宋体" w:hAnsi="宋体" w:eastAsia="宋体" w:cs="宋体"/>
                <w:b/>
                <w:bCs/>
                <w:color w:val="auto"/>
                <w:sz w:val="21"/>
                <w:szCs w:val="20"/>
                <w:highlight w:val="none"/>
                <w:lang w:val="en-US" w:eastAsia="zh-CN"/>
              </w:rPr>
            </w:pPr>
            <w:r>
              <w:rPr>
                <w:rFonts w:hint="eastAsia" w:ascii="宋体" w:hAnsi="宋体" w:eastAsia="宋体" w:cs="宋体"/>
                <w:b/>
                <w:bCs/>
                <w:color w:val="auto"/>
                <w:sz w:val="21"/>
                <w:szCs w:val="20"/>
                <w:highlight w:val="none"/>
                <w:lang w:val="en-US" w:eastAsia="zh-CN"/>
              </w:rPr>
              <w:t>车辆序号</w:t>
            </w:r>
          </w:p>
        </w:tc>
        <w:tc>
          <w:tcPr>
            <w:tcW w:w="246" w:type="pct"/>
            <w:noWrap w:val="0"/>
            <w:vAlign w:val="center"/>
          </w:tcPr>
          <w:p w14:paraId="775E5D12">
            <w:pPr>
              <w:jc w:val="center"/>
              <w:rPr>
                <w:rFonts w:hint="eastAsia" w:ascii="宋体" w:hAnsi="宋体" w:eastAsia="宋体" w:cs="宋体"/>
                <w:b/>
                <w:bCs/>
                <w:color w:val="auto"/>
                <w:sz w:val="21"/>
                <w:szCs w:val="20"/>
                <w:highlight w:val="none"/>
                <w:lang w:val="en-US" w:eastAsia="zh-CN"/>
              </w:rPr>
            </w:pPr>
            <w:r>
              <w:rPr>
                <w:rFonts w:hint="eastAsia" w:ascii="宋体" w:hAnsi="宋体" w:eastAsia="宋体" w:cs="宋体"/>
                <w:b/>
                <w:bCs/>
                <w:color w:val="auto"/>
                <w:sz w:val="21"/>
                <w:szCs w:val="20"/>
                <w:highlight w:val="none"/>
                <w:lang w:val="en-US" w:eastAsia="zh-CN"/>
              </w:rPr>
              <w:t>车型</w:t>
            </w:r>
          </w:p>
        </w:tc>
        <w:tc>
          <w:tcPr>
            <w:tcW w:w="588" w:type="pct"/>
            <w:noWrap w:val="0"/>
            <w:vAlign w:val="center"/>
          </w:tcPr>
          <w:p w14:paraId="138740BE">
            <w:pPr>
              <w:jc w:val="center"/>
              <w:rPr>
                <w:rFonts w:hint="eastAsia" w:ascii="宋体" w:hAnsi="宋体" w:eastAsia="宋体" w:cs="宋体"/>
                <w:b/>
                <w:bCs/>
                <w:color w:val="auto"/>
                <w:sz w:val="21"/>
                <w:szCs w:val="20"/>
                <w:highlight w:val="none"/>
                <w:lang w:val="en-US" w:eastAsia="zh-CN"/>
              </w:rPr>
            </w:pPr>
            <w:r>
              <w:rPr>
                <w:rFonts w:hint="eastAsia" w:ascii="宋体" w:hAnsi="宋体" w:eastAsia="宋体" w:cs="宋体"/>
                <w:b/>
                <w:bCs/>
                <w:color w:val="auto"/>
                <w:sz w:val="21"/>
                <w:szCs w:val="20"/>
                <w:highlight w:val="none"/>
                <w:lang w:val="en-US" w:eastAsia="zh-CN"/>
              </w:rPr>
              <w:t>审核项</w:t>
            </w:r>
          </w:p>
        </w:tc>
        <w:tc>
          <w:tcPr>
            <w:tcW w:w="520" w:type="pct"/>
            <w:noWrap w:val="0"/>
            <w:vAlign w:val="center"/>
          </w:tcPr>
          <w:p w14:paraId="6FE91109">
            <w:pPr>
              <w:jc w:val="center"/>
              <w:rPr>
                <w:rFonts w:hint="eastAsia" w:ascii="宋体" w:hAnsi="宋体" w:eastAsia="宋体" w:cs="宋体"/>
                <w:b/>
                <w:bCs/>
                <w:color w:val="auto"/>
                <w:sz w:val="21"/>
                <w:szCs w:val="20"/>
                <w:highlight w:val="none"/>
                <w:lang w:val="en-US" w:eastAsia="zh-CN"/>
              </w:rPr>
            </w:pPr>
            <w:r>
              <w:rPr>
                <w:rFonts w:hint="eastAsia" w:ascii="宋体" w:hAnsi="宋体" w:eastAsia="宋体" w:cs="宋体"/>
                <w:b/>
                <w:bCs/>
                <w:color w:val="auto"/>
                <w:sz w:val="21"/>
                <w:szCs w:val="20"/>
                <w:highlight w:val="none"/>
                <w:lang w:val="en-US" w:eastAsia="zh-CN"/>
              </w:rPr>
              <w:t>车牌号码</w:t>
            </w:r>
          </w:p>
        </w:tc>
        <w:tc>
          <w:tcPr>
            <w:tcW w:w="2203" w:type="pct"/>
            <w:noWrap w:val="0"/>
            <w:vAlign w:val="center"/>
          </w:tcPr>
          <w:p w14:paraId="1CCF6844">
            <w:pPr>
              <w:jc w:val="center"/>
              <w:rPr>
                <w:rFonts w:hint="eastAsia" w:ascii="宋体" w:hAnsi="宋体" w:eastAsia="宋体" w:cs="宋体"/>
                <w:b/>
                <w:bCs/>
                <w:color w:val="auto"/>
                <w:sz w:val="21"/>
                <w:szCs w:val="20"/>
                <w:highlight w:val="none"/>
                <w:lang w:val="en-US" w:eastAsia="zh-CN"/>
              </w:rPr>
            </w:pPr>
            <w:r>
              <w:rPr>
                <w:rFonts w:hint="eastAsia" w:ascii="宋体" w:hAnsi="宋体" w:eastAsia="宋体" w:cs="宋体"/>
                <w:b/>
                <w:bCs/>
                <w:color w:val="auto"/>
                <w:sz w:val="21"/>
                <w:szCs w:val="20"/>
                <w:highlight w:val="none"/>
                <w:lang w:val="en-US" w:eastAsia="zh-CN"/>
              </w:rPr>
              <w:t>行驶证扫描件（务必清晰）</w:t>
            </w:r>
          </w:p>
        </w:tc>
        <w:tc>
          <w:tcPr>
            <w:tcW w:w="1095" w:type="pct"/>
            <w:noWrap w:val="0"/>
            <w:vAlign w:val="center"/>
          </w:tcPr>
          <w:p w14:paraId="58FA194E">
            <w:pPr>
              <w:jc w:val="center"/>
              <w:rPr>
                <w:rFonts w:hint="eastAsia" w:ascii="宋体" w:hAnsi="宋体" w:eastAsia="宋体" w:cs="宋体"/>
                <w:b/>
                <w:bCs/>
                <w:color w:val="auto"/>
                <w:sz w:val="21"/>
                <w:szCs w:val="20"/>
                <w:highlight w:val="none"/>
                <w:lang w:val="en-US" w:eastAsia="zh-CN"/>
              </w:rPr>
            </w:pPr>
            <w:r>
              <w:rPr>
                <w:rFonts w:hint="eastAsia" w:ascii="宋体" w:hAnsi="宋体" w:eastAsia="宋体" w:cs="宋体"/>
                <w:b/>
                <w:bCs/>
                <w:color w:val="auto"/>
                <w:sz w:val="21"/>
                <w:szCs w:val="20"/>
                <w:highlight w:val="none"/>
                <w:lang w:val="en-US" w:eastAsia="zh-CN"/>
              </w:rPr>
              <w:t>车辆与本单位关联关系</w:t>
            </w:r>
            <w:r>
              <w:rPr>
                <w:rFonts w:hint="eastAsia" w:ascii="宋体" w:hAnsi="宋体" w:eastAsia="宋体" w:cs="宋体"/>
                <w:b/>
                <w:bCs/>
                <w:color w:val="000000"/>
                <w:kern w:val="0"/>
                <w:szCs w:val="21"/>
                <w:highlight w:val="none"/>
              </w:rPr>
              <w:t>（自有/租赁/</w:t>
            </w:r>
            <w:r>
              <w:rPr>
                <w:rFonts w:hint="eastAsia" w:ascii="宋体" w:hAnsi="宋体" w:eastAsia="宋体" w:cs="宋体"/>
                <w:b/>
                <w:szCs w:val="21"/>
                <w:highlight w:val="none"/>
              </w:rPr>
              <w:t>协议/委托运输</w:t>
            </w:r>
            <w:r>
              <w:rPr>
                <w:rFonts w:hint="eastAsia" w:ascii="宋体" w:hAnsi="宋体" w:eastAsia="宋体" w:cs="宋体"/>
                <w:b/>
                <w:bCs/>
                <w:color w:val="000000"/>
                <w:kern w:val="0"/>
                <w:szCs w:val="21"/>
                <w:highlight w:val="none"/>
              </w:rPr>
              <w:t>）</w:t>
            </w:r>
          </w:p>
        </w:tc>
      </w:tr>
      <w:tr w14:paraId="55C503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9" w:hRule="atLeast"/>
          <w:jc w:val="center"/>
        </w:trPr>
        <w:tc>
          <w:tcPr>
            <w:tcW w:w="345" w:type="pct"/>
            <w:vMerge w:val="restart"/>
            <w:noWrap w:val="0"/>
            <w:vAlign w:val="center"/>
          </w:tcPr>
          <w:p w14:paraId="1514BCAA">
            <w:pPr>
              <w:jc w:val="center"/>
              <w:rPr>
                <w:rFonts w:hint="eastAsia" w:ascii="宋体" w:hAnsi="宋体" w:eastAsia="宋体" w:cs="宋体"/>
                <w:b w:val="0"/>
                <w:bCs w:val="0"/>
                <w:color w:val="auto"/>
                <w:sz w:val="21"/>
                <w:szCs w:val="20"/>
                <w:highlight w:val="none"/>
                <w:lang w:val="en-US" w:eastAsia="zh-CN"/>
              </w:rPr>
            </w:pPr>
            <w:r>
              <w:rPr>
                <w:rFonts w:hint="eastAsia" w:ascii="宋体" w:hAnsi="宋体" w:eastAsia="宋体" w:cs="宋体"/>
                <w:b w:val="0"/>
                <w:bCs w:val="0"/>
                <w:color w:val="auto"/>
                <w:sz w:val="21"/>
                <w:szCs w:val="20"/>
                <w:highlight w:val="none"/>
                <w:lang w:val="en-US" w:eastAsia="zh-CN"/>
              </w:rPr>
              <w:t>1</w:t>
            </w:r>
          </w:p>
        </w:tc>
        <w:tc>
          <w:tcPr>
            <w:tcW w:w="246" w:type="pct"/>
            <w:vMerge w:val="restart"/>
            <w:noWrap w:val="0"/>
            <w:vAlign w:val="center"/>
          </w:tcPr>
          <w:p w14:paraId="02771C5F">
            <w:pPr>
              <w:jc w:val="center"/>
              <w:rPr>
                <w:rFonts w:hint="eastAsia" w:ascii="宋体" w:hAnsi="宋体" w:eastAsia="宋体" w:cs="宋体"/>
                <w:b w:val="0"/>
                <w:bCs w:val="0"/>
                <w:color w:val="auto"/>
                <w:sz w:val="21"/>
                <w:szCs w:val="20"/>
                <w:highlight w:val="none"/>
                <w:lang w:val="en-US" w:eastAsia="zh-CN"/>
              </w:rPr>
            </w:pPr>
          </w:p>
        </w:tc>
        <w:tc>
          <w:tcPr>
            <w:tcW w:w="588" w:type="pct"/>
            <w:noWrap w:val="0"/>
            <w:vAlign w:val="center"/>
          </w:tcPr>
          <w:p w14:paraId="32753BC1">
            <w:pPr>
              <w:jc w:val="center"/>
              <w:rPr>
                <w:rFonts w:hint="eastAsia" w:ascii="宋体" w:hAnsi="宋体" w:eastAsia="宋体" w:cs="宋体"/>
                <w:b w:val="0"/>
                <w:bCs w:val="0"/>
                <w:color w:val="auto"/>
                <w:sz w:val="21"/>
                <w:szCs w:val="20"/>
                <w:highlight w:val="none"/>
                <w:lang w:val="en-US" w:eastAsia="zh-CN"/>
              </w:rPr>
            </w:pPr>
            <w:r>
              <w:rPr>
                <w:rFonts w:hint="eastAsia" w:ascii="宋体" w:hAnsi="宋体" w:eastAsia="宋体" w:cs="宋体"/>
                <w:b w:val="0"/>
                <w:bCs w:val="0"/>
                <w:color w:val="auto"/>
                <w:sz w:val="21"/>
                <w:szCs w:val="20"/>
                <w:highlight w:val="none"/>
                <w:lang w:val="en-US" w:eastAsia="zh-CN"/>
              </w:rPr>
              <w:t>牵引车</w:t>
            </w:r>
          </w:p>
        </w:tc>
        <w:tc>
          <w:tcPr>
            <w:tcW w:w="520" w:type="pct"/>
            <w:noWrap w:val="0"/>
            <w:vAlign w:val="center"/>
          </w:tcPr>
          <w:p w14:paraId="39368873">
            <w:pPr>
              <w:jc w:val="center"/>
              <w:rPr>
                <w:rFonts w:hint="eastAsia" w:ascii="宋体" w:hAnsi="宋体" w:eastAsia="宋体" w:cs="宋体"/>
                <w:b w:val="0"/>
                <w:bCs w:val="0"/>
                <w:color w:val="auto"/>
                <w:sz w:val="21"/>
                <w:szCs w:val="20"/>
                <w:highlight w:val="none"/>
                <w:lang w:val="en-US" w:eastAsia="zh-CN"/>
              </w:rPr>
            </w:pPr>
          </w:p>
        </w:tc>
        <w:tc>
          <w:tcPr>
            <w:tcW w:w="2203" w:type="pct"/>
            <w:noWrap w:val="0"/>
            <w:vAlign w:val="center"/>
          </w:tcPr>
          <w:p w14:paraId="01CAE5BF">
            <w:pPr>
              <w:jc w:val="center"/>
              <w:rPr>
                <w:rFonts w:hint="eastAsia" w:ascii="宋体" w:hAnsi="宋体" w:eastAsia="宋体" w:cs="宋体"/>
                <w:b w:val="0"/>
                <w:bCs w:val="0"/>
                <w:color w:val="auto"/>
                <w:sz w:val="21"/>
                <w:szCs w:val="20"/>
                <w:highlight w:val="none"/>
                <w:lang w:val="en-US" w:eastAsia="zh-CN"/>
              </w:rPr>
            </w:pPr>
          </w:p>
        </w:tc>
        <w:tc>
          <w:tcPr>
            <w:tcW w:w="1095" w:type="pct"/>
            <w:noWrap w:val="0"/>
            <w:vAlign w:val="center"/>
          </w:tcPr>
          <w:p w14:paraId="5E6C259E">
            <w:pPr>
              <w:jc w:val="center"/>
              <w:rPr>
                <w:rFonts w:hint="eastAsia" w:ascii="宋体" w:hAnsi="宋体" w:eastAsia="宋体" w:cs="宋体"/>
                <w:b w:val="0"/>
                <w:bCs w:val="0"/>
                <w:color w:val="auto"/>
                <w:sz w:val="21"/>
                <w:szCs w:val="20"/>
                <w:highlight w:val="none"/>
                <w:lang w:val="en-US" w:eastAsia="zh-CN"/>
              </w:rPr>
            </w:pPr>
          </w:p>
        </w:tc>
      </w:tr>
      <w:tr w14:paraId="56F2F5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3" w:hRule="atLeast"/>
          <w:jc w:val="center"/>
        </w:trPr>
        <w:tc>
          <w:tcPr>
            <w:tcW w:w="345" w:type="pct"/>
            <w:vMerge w:val="continue"/>
            <w:noWrap w:val="0"/>
            <w:vAlign w:val="center"/>
          </w:tcPr>
          <w:p w14:paraId="5A4F8DF7">
            <w:pPr>
              <w:jc w:val="center"/>
              <w:rPr>
                <w:rFonts w:hint="eastAsia" w:ascii="宋体" w:hAnsi="宋体" w:eastAsia="宋体" w:cs="宋体"/>
                <w:b w:val="0"/>
                <w:bCs w:val="0"/>
                <w:color w:val="auto"/>
                <w:sz w:val="21"/>
                <w:szCs w:val="20"/>
                <w:highlight w:val="none"/>
                <w:lang w:val="en-US" w:eastAsia="zh-CN"/>
              </w:rPr>
            </w:pPr>
          </w:p>
        </w:tc>
        <w:tc>
          <w:tcPr>
            <w:tcW w:w="246" w:type="pct"/>
            <w:vMerge w:val="continue"/>
            <w:noWrap w:val="0"/>
            <w:vAlign w:val="center"/>
          </w:tcPr>
          <w:p w14:paraId="5F664A37">
            <w:pPr>
              <w:jc w:val="center"/>
              <w:rPr>
                <w:rFonts w:hint="eastAsia" w:ascii="宋体" w:hAnsi="宋体" w:eastAsia="宋体" w:cs="宋体"/>
                <w:b w:val="0"/>
                <w:bCs w:val="0"/>
                <w:color w:val="auto"/>
                <w:sz w:val="21"/>
                <w:szCs w:val="20"/>
                <w:highlight w:val="none"/>
                <w:lang w:val="en-US" w:eastAsia="zh-CN"/>
              </w:rPr>
            </w:pPr>
          </w:p>
        </w:tc>
        <w:tc>
          <w:tcPr>
            <w:tcW w:w="588" w:type="pct"/>
            <w:noWrap w:val="0"/>
            <w:vAlign w:val="center"/>
          </w:tcPr>
          <w:p w14:paraId="134CAB85">
            <w:pPr>
              <w:jc w:val="center"/>
              <w:rPr>
                <w:rFonts w:hint="eastAsia" w:ascii="宋体" w:hAnsi="宋体" w:eastAsia="宋体" w:cs="宋体"/>
                <w:b w:val="0"/>
                <w:bCs w:val="0"/>
                <w:color w:val="auto"/>
                <w:sz w:val="21"/>
                <w:szCs w:val="20"/>
                <w:highlight w:val="none"/>
                <w:lang w:val="en-US" w:eastAsia="zh-CN"/>
              </w:rPr>
            </w:pPr>
            <w:r>
              <w:rPr>
                <w:rFonts w:hint="eastAsia" w:ascii="宋体" w:hAnsi="宋体" w:eastAsia="宋体" w:cs="宋体"/>
                <w:b w:val="0"/>
                <w:bCs w:val="0"/>
                <w:color w:val="auto"/>
                <w:sz w:val="21"/>
                <w:szCs w:val="20"/>
                <w:highlight w:val="none"/>
                <w:lang w:val="en-US" w:eastAsia="zh-CN"/>
              </w:rPr>
              <w:t>挂车（如无不填写）</w:t>
            </w:r>
          </w:p>
        </w:tc>
        <w:tc>
          <w:tcPr>
            <w:tcW w:w="520" w:type="pct"/>
            <w:noWrap w:val="0"/>
            <w:vAlign w:val="center"/>
          </w:tcPr>
          <w:p w14:paraId="2478801F">
            <w:pPr>
              <w:jc w:val="center"/>
              <w:rPr>
                <w:rFonts w:hint="eastAsia" w:ascii="宋体" w:hAnsi="宋体" w:eastAsia="宋体" w:cs="宋体"/>
                <w:b w:val="0"/>
                <w:bCs w:val="0"/>
                <w:color w:val="auto"/>
                <w:sz w:val="21"/>
                <w:szCs w:val="20"/>
                <w:highlight w:val="none"/>
                <w:lang w:val="en-US" w:eastAsia="zh-CN"/>
              </w:rPr>
            </w:pPr>
          </w:p>
        </w:tc>
        <w:tc>
          <w:tcPr>
            <w:tcW w:w="2203" w:type="pct"/>
            <w:noWrap w:val="0"/>
            <w:vAlign w:val="center"/>
          </w:tcPr>
          <w:p w14:paraId="6CC2ABD6">
            <w:pPr>
              <w:jc w:val="center"/>
              <w:rPr>
                <w:rFonts w:hint="eastAsia" w:ascii="宋体" w:hAnsi="宋体" w:eastAsia="宋体" w:cs="宋体"/>
                <w:b w:val="0"/>
                <w:bCs w:val="0"/>
                <w:color w:val="auto"/>
                <w:sz w:val="21"/>
                <w:szCs w:val="20"/>
                <w:highlight w:val="none"/>
                <w:lang w:val="en-US" w:eastAsia="zh-CN"/>
              </w:rPr>
            </w:pPr>
          </w:p>
        </w:tc>
        <w:tc>
          <w:tcPr>
            <w:tcW w:w="1095" w:type="pct"/>
            <w:noWrap w:val="0"/>
            <w:vAlign w:val="center"/>
          </w:tcPr>
          <w:p w14:paraId="191ACB03">
            <w:pPr>
              <w:jc w:val="center"/>
              <w:rPr>
                <w:rFonts w:hint="eastAsia" w:ascii="宋体" w:hAnsi="宋体" w:eastAsia="宋体" w:cs="宋体"/>
                <w:b w:val="0"/>
                <w:bCs w:val="0"/>
                <w:color w:val="auto"/>
                <w:sz w:val="21"/>
                <w:szCs w:val="20"/>
                <w:highlight w:val="none"/>
                <w:lang w:val="en-US" w:eastAsia="zh-CN"/>
              </w:rPr>
            </w:pPr>
          </w:p>
        </w:tc>
      </w:tr>
      <w:tr w14:paraId="0F4728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9" w:hRule="atLeast"/>
          <w:jc w:val="center"/>
        </w:trPr>
        <w:tc>
          <w:tcPr>
            <w:tcW w:w="345" w:type="pct"/>
            <w:vMerge w:val="restart"/>
            <w:noWrap w:val="0"/>
            <w:vAlign w:val="center"/>
          </w:tcPr>
          <w:p w14:paraId="28E4DC8D">
            <w:pPr>
              <w:jc w:val="center"/>
              <w:rPr>
                <w:rFonts w:hint="eastAsia" w:ascii="宋体" w:hAnsi="宋体" w:eastAsia="宋体" w:cs="宋体"/>
                <w:b w:val="0"/>
                <w:bCs w:val="0"/>
                <w:color w:val="auto"/>
                <w:sz w:val="21"/>
                <w:szCs w:val="20"/>
                <w:highlight w:val="none"/>
                <w:lang w:val="en-US" w:eastAsia="zh-CN"/>
              </w:rPr>
            </w:pPr>
            <w:r>
              <w:rPr>
                <w:rFonts w:hint="eastAsia" w:ascii="宋体" w:hAnsi="宋体" w:eastAsia="宋体" w:cs="宋体"/>
                <w:b w:val="0"/>
                <w:bCs w:val="0"/>
                <w:color w:val="auto"/>
                <w:sz w:val="21"/>
                <w:szCs w:val="20"/>
                <w:highlight w:val="none"/>
                <w:lang w:val="en-US" w:eastAsia="zh-CN"/>
              </w:rPr>
              <w:t>2</w:t>
            </w:r>
          </w:p>
        </w:tc>
        <w:tc>
          <w:tcPr>
            <w:tcW w:w="246" w:type="pct"/>
            <w:vMerge w:val="restart"/>
            <w:noWrap w:val="0"/>
            <w:vAlign w:val="center"/>
          </w:tcPr>
          <w:p w14:paraId="2AC71C0D">
            <w:pPr>
              <w:jc w:val="center"/>
              <w:rPr>
                <w:rFonts w:hint="eastAsia" w:ascii="宋体" w:hAnsi="宋体" w:eastAsia="宋体" w:cs="宋体"/>
                <w:b w:val="0"/>
                <w:bCs w:val="0"/>
                <w:color w:val="auto"/>
                <w:sz w:val="21"/>
                <w:szCs w:val="20"/>
                <w:highlight w:val="none"/>
                <w:lang w:val="en-US" w:eastAsia="zh-CN"/>
              </w:rPr>
            </w:pPr>
          </w:p>
        </w:tc>
        <w:tc>
          <w:tcPr>
            <w:tcW w:w="588" w:type="pct"/>
            <w:noWrap w:val="0"/>
            <w:vAlign w:val="center"/>
          </w:tcPr>
          <w:p w14:paraId="72051762">
            <w:pPr>
              <w:jc w:val="center"/>
              <w:rPr>
                <w:rFonts w:hint="eastAsia" w:ascii="宋体" w:hAnsi="宋体" w:eastAsia="宋体" w:cs="宋体"/>
                <w:b w:val="0"/>
                <w:bCs w:val="0"/>
                <w:color w:val="auto"/>
                <w:sz w:val="21"/>
                <w:szCs w:val="20"/>
                <w:highlight w:val="none"/>
                <w:lang w:val="en-US" w:eastAsia="zh-CN"/>
              </w:rPr>
            </w:pPr>
            <w:r>
              <w:rPr>
                <w:rFonts w:hint="eastAsia" w:ascii="宋体" w:hAnsi="宋体" w:eastAsia="宋体" w:cs="宋体"/>
                <w:b w:val="0"/>
                <w:bCs w:val="0"/>
                <w:color w:val="auto"/>
                <w:sz w:val="21"/>
                <w:szCs w:val="20"/>
                <w:highlight w:val="none"/>
                <w:lang w:val="en-US" w:eastAsia="zh-CN"/>
              </w:rPr>
              <w:t>牵引车</w:t>
            </w:r>
          </w:p>
        </w:tc>
        <w:tc>
          <w:tcPr>
            <w:tcW w:w="520" w:type="pct"/>
            <w:noWrap w:val="0"/>
            <w:vAlign w:val="center"/>
          </w:tcPr>
          <w:p w14:paraId="4FC4293D">
            <w:pPr>
              <w:jc w:val="center"/>
              <w:rPr>
                <w:rFonts w:hint="eastAsia" w:ascii="宋体" w:hAnsi="宋体" w:eastAsia="宋体" w:cs="宋体"/>
                <w:b w:val="0"/>
                <w:bCs w:val="0"/>
                <w:color w:val="auto"/>
                <w:sz w:val="21"/>
                <w:szCs w:val="20"/>
                <w:highlight w:val="none"/>
                <w:lang w:val="en-US" w:eastAsia="zh-CN"/>
              </w:rPr>
            </w:pPr>
          </w:p>
        </w:tc>
        <w:tc>
          <w:tcPr>
            <w:tcW w:w="2203" w:type="pct"/>
            <w:noWrap w:val="0"/>
            <w:vAlign w:val="center"/>
          </w:tcPr>
          <w:p w14:paraId="39E7E4CD">
            <w:pPr>
              <w:jc w:val="center"/>
              <w:rPr>
                <w:rFonts w:hint="eastAsia" w:ascii="宋体" w:hAnsi="宋体" w:eastAsia="宋体" w:cs="宋体"/>
                <w:b w:val="0"/>
                <w:bCs w:val="0"/>
                <w:color w:val="auto"/>
                <w:sz w:val="21"/>
                <w:szCs w:val="20"/>
                <w:highlight w:val="none"/>
                <w:lang w:val="en-US" w:eastAsia="zh-CN"/>
              </w:rPr>
            </w:pPr>
          </w:p>
        </w:tc>
        <w:tc>
          <w:tcPr>
            <w:tcW w:w="1095" w:type="pct"/>
            <w:noWrap w:val="0"/>
            <w:vAlign w:val="center"/>
          </w:tcPr>
          <w:p w14:paraId="4C18B918">
            <w:pPr>
              <w:jc w:val="center"/>
              <w:rPr>
                <w:rFonts w:hint="eastAsia" w:ascii="宋体" w:hAnsi="宋体" w:eastAsia="宋体" w:cs="宋体"/>
                <w:b w:val="0"/>
                <w:bCs w:val="0"/>
                <w:color w:val="auto"/>
                <w:sz w:val="21"/>
                <w:szCs w:val="20"/>
                <w:highlight w:val="none"/>
                <w:lang w:val="en-US" w:eastAsia="zh-CN"/>
              </w:rPr>
            </w:pPr>
          </w:p>
        </w:tc>
      </w:tr>
      <w:tr w14:paraId="4C922D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3" w:hRule="atLeast"/>
          <w:jc w:val="center"/>
        </w:trPr>
        <w:tc>
          <w:tcPr>
            <w:tcW w:w="345" w:type="pct"/>
            <w:vMerge w:val="continue"/>
            <w:noWrap w:val="0"/>
            <w:vAlign w:val="center"/>
          </w:tcPr>
          <w:p w14:paraId="5146769E">
            <w:pPr>
              <w:jc w:val="center"/>
              <w:rPr>
                <w:rFonts w:hint="eastAsia" w:ascii="宋体" w:hAnsi="宋体" w:eastAsia="宋体" w:cs="宋体"/>
                <w:b w:val="0"/>
                <w:bCs w:val="0"/>
                <w:color w:val="auto"/>
                <w:sz w:val="21"/>
                <w:szCs w:val="20"/>
                <w:highlight w:val="none"/>
                <w:lang w:val="en-US" w:eastAsia="zh-CN"/>
              </w:rPr>
            </w:pPr>
          </w:p>
        </w:tc>
        <w:tc>
          <w:tcPr>
            <w:tcW w:w="246" w:type="pct"/>
            <w:vMerge w:val="continue"/>
            <w:noWrap w:val="0"/>
            <w:vAlign w:val="center"/>
          </w:tcPr>
          <w:p w14:paraId="1CE079DB">
            <w:pPr>
              <w:jc w:val="center"/>
              <w:rPr>
                <w:rFonts w:hint="eastAsia" w:ascii="宋体" w:hAnsi="宋体" w:eastAsia="宋体" w:cs="宋体"/>
                <w:b w:val="0"/>
                <w:bCs w:val="0"/>
                <w:color w:val="auto"/>
                <w:sz w:val="21"/>
                <w:szCs w:val="20"/>
                <w:highlight w:val="none"/>
                <w:lang w:val="en-US" w:eastAsia="zh-CN"/>
              </w:rPr>
            </w:pPr>
          </w:p>
        </w:tc>
        <w:tc>
          <w:tcPr>
            <w:tcW w:w="588" w:type="pct"/>
            <w:noWrap w:val="0"/>
            <w:vAlign w:val="center"/>
          </w:tcPr>
          <w:p w14:paraId="3404D0DD">
            <w:pPr>
              <w:jc w:val="center"/>
              <w:rPr>
                <w:rFonts w:hint="eastAsia" w:ascii="宋体" w:hAnsi="宋体" w:eastAsia="宋体" w:cs="宋体"/>
                <w:b w:val="0"/>
                <w:bCs w:val="0"/>
                <w:color w:val="auto"/>
                <w:sz w:val="21"/>
                <w:szCs w:val="20"/>
                <w:highlight w:val="none"/>
                <w:lang w:val="en-US" w:eastAsia="zh-CN"/>
              </w:rPr>
            </w:pPr>
            <w:r>
              <w:rPr>
                <w:rFonts w:hint="eastAsia" w:ascii="宋体" w:hAnsi="宋体" w:eastAsia="宋体" w:cs="宋体"/>
                <w:b w:val="0"/>
                <w:bCs w:val="0"/>
                <w:color w:val="auto"/>
                <w:sz w:val="21"/>
                <w:szCs w:val="20"/>
                <w:highlight w:val="none"/>
                <w:lang w:val="en-US" w:eastAsia="zh-CN"/>
              </w:rPr>
              <w:t>挂车（如无不填写）</w:t>
            </w:r>
          </w:p>
        </w:tc>
        <w:tc>
          <w:tcPr>
            <w:tcW w:w="520" w:type="pct"/>
            <w:noWrap w:val="0"/>
            <w:vAlign w:val="center"/>
          </w:tcPr>
          <w:p w14:paraId="6C7FED0D">
            <w:pPr>
              <w:jc w:val="center"/>
              <w:rPr>
                <w:rFonts w:hint="eastAsia" w:ascii="宋体" w:hAnsi="宋体" w:eastAsia="宋体" w:cs="宋体"/>
                <w:b w:val="0"/>
                <w:bCs w:val="0"/>
                <w:color w:val="auto"/>
                <w:sz w:val="21"/>
                <w:szCs w:val="20"/>
                <w:highlight w:val="none"/>
                <w:lang w:val="en-US" w:eastAsia="zh-CN"/>
              </w:rPr>
            </w:pPr>
          </w:p>
        </w:tc>
        <w:tc>
          <w:tcPr>
            <w:tcW w:w="2203" w:type="pct"/>
            <w:noWrap w:val="0"/>
            <w:vAlign w:val="center"/>
          </w:tcPr>
          <w:p w14:paraId="58820422">
            <w:pPr>
              <w:jc w:val="center"/>
              <w:rPr>
                <w:rFonts w:hint="eastAsia" w:ascii="宋体" w:hAnsi="宋体" w:eastAsia="宋体" w:cs="宋体"/>
                <w:b w:val="0"/>
                <w:bCs w:val="0"/>
                <w:color w:val="auto"/>
                <w:sz w:val="21"/>
                <w:szCs w:val="20"/>
                <w:highlight w:val="none"/>
                <w:lang w:val="en-US" w:eastAsia="zh-CN"/>
              </w:rPr>
            </w:pPr>
          </w:p>
        </w:tc>
        <w:tc>
          <w:tcPr>
            <w:tcW w:w="1095" w:type="pct"/>
            <w:noWrap w:val="0"/>
            <w:vAlign w:val="center"/>
          </w:tcPr>
          <w:p w14:paraId="40F98581">
            <w:pPr>
              <w:jc w:val="center"/>
              <w:rPr>
                <w:rFonts w:hint="eastAsia" w:ascii="宋体" w:hAnsi="宋体" w:eastAsia="宋体" w:cs="宋体"/>
                <w:b w:val="0"/>
                <w:bCs w:val="0"/>
                <w:color w:val="auto"/>
                <w:sz w:val="21"/>
                <w:szCs w:val="20"/>
                <w:highlight w:val="none"/>
                <w:lang w:val="en-US" w:eastAsia="zh-CN"/>
              </w:rPr>
            </w:pPr>
          </w:p>
        </w:tc>
      </w:tr>
      <w:tr w14:paraId="27F7FC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345" w:type="pct"/>
            <w:vMerge w:val="restart"/>
            <w:noWrap w:val="0"/>
            <w:vAlign w:val="center"/>
          </w:tcPr>
          <w:p w14:paraId="28AC123F">
            <w:pPr>
              <w:jc w:val="center"/>
              <w:rPr>
                <w:rFonts w:hint="eastAsia" w:ascii="宋体" w:hAnsi="宋体" w:eastAsia="宋体" w:cs="宋体"/>
                <w:b w:val="0"/>
                <w:bCs w:val="0"/>
                <w:color w:val="auto"/>
                <w:sz w:val="21"/>
                <w:szCs w:val="20"/>
                <w:highlight w:val="none"/>
                <w:lang w:val="en-US" w:eastAsia="zh-CN"/>
              </w:rPr>
            </w:pPr>
            <w:r>
              <w:rPr>
                <w:rFonts w:hint="eastAsia" w:ascii="宋体" w:hAnsi="宋体" w:eastAsia="宋体" w:cs="宋体"/>
                <w:b w:val="0"/>
                <w:bCs w:val="0"/>
                <w:color w:val="auto"/>
                <w:sz w:val="21"/>
                <w:szCs w:val="20"/>
                <w:highlight w:val="none"/>
                <w:lang w:val="en-US" w:eastAsia="zh-CN"/>
              </w:rPr>
              <w:t>3</w:t>
            </w:r>
          </w:p>
        </w:tc>
        <w:tc>
          <w:tcPr>
            <w:tcW w:w="246" w:type="pct"/>
            <w:vMerge w:val="restart"/>
            <w:noWrap w:val="0"/>
            <w:vAlign w:val="center"/>
          </w:tcPr>
          <w:p w14:paraId="70304CB7">
            <w:pPr>
              <w:jc w:val="center"/>
              <w:rPr>
                <w:rFonts w:hint="eastAsia" w:ascii="宋体" w:hAnsi="宋体" w:eastAsia="宋体" w:cs="宋体"/>
                <w:b w:val="0"/>
                <w:bCs w:val="0"/>
                <w:color w:val="auto"/>
                <w:sz w:val="21"/>
                <w:szCs w:val="20"/>
                <w:highlight w:val="none"/>
                <w:lang w:val="en-US" w:eastAsia="zh-CN"/>
              </w:rPr>
            </w:pPr>
          </w:p>
        </w:tc>
        <w:tc>
          <w:tcPr>
            <w:tcW w:w="588" w:type="pct"/>
            <w:noWrap w:val="0"/>
            <w:vAlign w:val="center"/>
          </w:tcPr>
          <w:p w14:paraId="35F0CCED">
            <w:pPr>
              <w:jc w:val="center"/>
              <w:rPr>
                <w:rFonts w:hint="eastAsia" w:ascii="宋体" w:hAnsi="宋体" w:eastAsia="宋体" w:cs="宋体"/>
                <w:b w:val="0"/>
                <w:bCs w:val="0"/>
                <w:color w:val="auto"/>
                <w:sz w:val="21"/>
                <w:szCs w:val="20"/>
                <w:highlight w:val="none"/>
                <w:lang w:val="en-US" w:eastAsia="zh-CN"/>
              </w:rPr>
            </w:pPr>
            <w:r>
              <w:rPr>
                <w:rFonts w:hint="eastAsia" w:ascii="宋体" w:hAnsi="宋体" w:eastAsia="宋体" w:cs="宋体"/>
                <w:b w:val="0"/>
                <w:bCs w:val="0"/>
                <w:color w:val="auto"/>
                <w:sz w:val="21"/>
                <w:szCs w:val="20"/>
                <w:highlight w:val="none"/>
                <w:lang w:val="en-US" w:eastAsia="zh-CN"/>
              </w:rPr>
              <w:t>牵引车</w:t>
            </w:r>
          </w:p>
        </w:tc>
        <w:tc>
          <w:tcPr>
            <w:tcW w:w="520" w:type="pct"/>
            <w:noWrap w:val="0"/>
            <w:vAlign w:val="center"/>
          </w:tcPr>
          <w:p w14:paraId="1F0E64F1">
            <w:pPr>
              <w:jc w:val="center"/>
              <w:rPr>
                <w:rFonts w:hint="eastAsia" w:ascii="宋体" w:hAnsi="宋体" w:eastAsia="宋体" w:cs="宋体"/>
                <w:b w:val="0"/>
                <w:bCs w:val="0"/>
                <w:color w:val="auto"/>
                <w:sz w:val="21"/>
                <w:szCs w:val="20"/>
                <w:highlight w:val="none"/>
                <w:lang w:val="en-US" w:eastAsia="zh-CN"/>
              </w:rPr>
            </w:pPr>
          </w:p>
        </w:tc>
        <w:tc>
          <w:tcPr>
            <w:tcW w:w="2203" w:type="pct"/>
            <w:noWrap w:val="0"/>
            <w:vAlign w:val="center"/>
          </w:tcPr>
          <w:p w14:paraId="0350E1A0">
            <w:pPr>
              <w:jc w:val="center"/>
              <w:rPr>
                <w:rFonts w:hint="eastAsia" w:ascii="宋体" w:hAnsi="宋体" w:eastAsia="宋体" w:cs="宋体"/>
                <w:b w:val="0"/>
                <w:bCs w:val="0"/>
                <w:color w:val="auto"/>
                <w:sz w:val="21"/>
                <w:szCs w:val="20"/>
                <w:highlight w:val="none"/>
                <w:lang w:val="en-US" w:eastAsia="zh-CN"/>
              </w:rPr>
            </w:pPr>
          </w:p>
        </w:tc>
        <w:tc>
          <w:tcPr>
            <w:tcW w:w="1095" w:type="pct"/>
            <w:noWrap w:val="0"/>
            <w:vAlign w:val="center"/>
          </w:tcPr>
          <w:p w14:paraId="310D1597">
            <w:pPr>
              <w:jc w:val="center"/>
              <w:rPr>
                <w:rFonts w:hint="eastAsia" w:ascii="宋体" w:hAnsi="宋体" w:eastAsia="宋体" w:cs="宋体"/>
                <w:b w:val="0"/>
                <w:bCs w:val="0"/>
                <w:color w:val="auto"/>
                <w:sz w:val="21"/>
                <w:szCs w:val="20"/>
                <w:highlight w:val="none"/>
                <w:lang w:val="en-US" w:eastAsia="zh-CN"/>
              </w:rPr>
            </w:pPr>
          </w:p>
        </w:tc>
      </w:tr>
      <w:tr w14:paraId="5C588D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88" w:hRule="atLeast"/>
          <w:jc w:val="center"/>
        </w:trPr>
        <w:tc>
          <w:tcPr>
            <w:tcW w:w="345" w:type="pct"/>
            <w:vMerge w:val="continue"/>
            <w:noWrap w:val="0"/>
            <w:vAlign w:val="center"/>
          </w:tcPr>
          <w:p w14:paraId="4DD086FD">
            <w:pPr>
              <w:jc w:val="center"/>
              <w:rPr>
                <w:rFonts w:hint="eastAsia" w:ascii="宋体" w:hAnsi="宋体" w:eastAsia="宋体" w:cs="宋体"/>
                <w:b w:val="0"/>
                <w:bCs w:val="0"/>
                <w:color w:val="auto"/>
                <w:sz w:val="21"/>
                <w:szCs w:val="20"/>
                <w:highlight w:val="none"/>
                <w:lang w:val="en-US" w:eastAsia="zh-CN"/>
              </w:rPr>
            </w:pPr>
          </w:p>
        </w:tc>
        <w:tc>
          <w:tcPr>
            <w:tcW w:w="246" w:type="pct"/>
            <w:vMerge w:val="continue"/>
            <w:noWrap w:val="0"/>
            <w:vAlign w:val="center"/>
          </w:tcPr>
          <w:p w14:paraId="5CC6BEE5">
            <w:pPr>
              <w:jc w:val="center"/>
              <w:rPr>
                <w:rFonts w:hint="eastAsia" w:ascii="宋体" w:hAnsi="宋体" w:eastAsia="宋体" w:cs="宋体"/>
                <w:b w:val="0"/>
                <w:bCs w:val="0"/>
                <w:color w:val="auto"/>
                <w:sz w:val="21"/>
                <w:szCs w:val="20"/>
                <w:highlight w:val="none"/>
                <w:lang w:val="en-US" w:eastAsia="zh-CN"/>
              </w:rPr>
            </w:pPr>
          </w:p>
        </w:tc>
        <w:tc>
          <w:tcPr>
            <w:tcW w:w="588" w:type="pct"/>
            <w:noWrap w:val="0"/>
            <w:vAlign w:val="center"/>
          </w:tcPr>
          <w:p w14:paraId="740F23C3">
            <w:pPr>
              <w:jc w:val="center"/>
              <w:rPr>
                <w:rFonts w:hint="eastAsia" w:ascii="宋体" w:hAnsi="宋体" w:eastAsia="宋体" w:cs="宋体"/>
                <w:b w:val="0"/>
                <w:bCs w:val="0"/>
                <w:color w:val="auto"/>
                <w:kern w:val="2"/>
                <w:sz w:val="21"/>
                <w:szCs w:val="20"/>
                <w:highlight w:val="none"/>
                <w:lang w:val="en-US" w:eastAsia="zh-CN" w:bidi="ar-SA"/>
              </w:rPr>
            </w:pPr>
            <w:r>
              <w:rPr>
                <w:rFonts w:hint="eastAsia" w:ascii="宋体" w:hAnsi="宋体" w:eastAsia="宋体" w:cs="宋体"/>
                <w:b w:val="0"/>
                <w:bCs w:val="0"/>
                <w:color w:val="auto"/>
                <w:sz w:val="21"/>
                <w:szCs w:val="20"/>
                <w:highlight w:val="none"/>
                <w:lang w:val="en-US" w:eastAsia="zh-CN"/>
              </w:rPr>
              <w:t>挂车（如无不填写）</w:t>
            </w:r>
          </w:p>
        </w:tc>
        <w:tc>
          <w:tcPr>
            <w:tcW w:w="520" w:type="pct"/>
            <w:noWrap w:val="0"/>
            <w:vAlign w:val="center"/>
          </w:tcPr>
          <w:p w14:paraId="60158F05">
            <w:pPr>
              <w:jc w:val="center"/>
              <w:rPr>
                <w:rFonts w:hint="eastAsia" w:ascii="宋体" w:hAnsi="宋体" w:eastAsia="宋体" w:cs="宋体"/>
                <w:b w:val="0"/>
                <w:bCs w:val="0"/>
                <w:color w:val="auto"/>
                <w:sz w:val="21"/>
                <w:szCs w:val="20"/>
                <w:highlight w:val="none"/>
                <w:lang w:val="en-US" w:eastAsia="zh-CN"/>
              </w:rPr>
            </w:pPr>
          </w:p>
        </w:tc>
        <w:tc>
          <w:tcPr>
            <w:tcW w:w="2203" w:type="pct"/>
            <w:noWrap w:val="0"/>
            <w:vAlign w:val="center"/>
          </w:tcPr>
          <w:p w14:paraId="4C5FD81C">
            <w:pPr>
              <w:jc w:val="center"/>
              <w:rPr>
                <w:rFonts w:hint="eastAsia" w:ascii="宋体" w:hAnsi="宋体" w:eastAsia="宋体" w:cs="宋体"/>
                <w:b w:val="0"/>
                <w:bCs w:val="0"/>
                <w:color w:val="auto"/>
                <w:sz w:val="21"/>
                <w:szCs w:val="20"/>
                <w:highlight w:val="none"/>
                <w:lang w:val="en-US" w:eastAsia="zh-CN"/>
              </w:rPr>
            </w:pPr>
          </w:p>
        </w:tc>
        <w:tc>
          <w:tcPr>
            <w:tcW w:w="1095" w:type="pct"/>
            <w:noWrap w:val="0"/>
            <w:vAlign w:val="center"/>
          </w:tcPr>
          <w:p w14:paraId="573535D9">
            <w:pPr>
              <w:jc w:val="center"/>
              <w:rPr>
                <w:rFonts w:hint="eastAsia" w:ascii="宋体" w:hAnsi="宋体" w:eastAsia="宋体" w:cs="宋体"/>
                <w:b w:val="0"/>
                <w:bCs w:val="0"/>
                <w:color w:val="auto"/>
                <w:sz w:val="21"/>
                <w:szCs w:val="20"/>
                <w:highlight w:val="none"/>
                <w:lang w:val="en-US" w:eastAsia="zh-CN"/>
              </w:rPr>
            </w:pPr>
          </w:p>
        </w:tc>
      </w:tr>
      <w:tr w14:paraId="52C232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6" w:hRule="atLeast"/>
          <w:jc w:val="center"/>
        </w:trPr>
        <w:tc>
          <w:tcPr>
            <w:tcW w:w="345" w:type="pct"/>
            <w:noWrap w:val="0"/>
            <w:vAlign w:val="center"/>
          </w:tcPr>
          <w:p w14:paraId="609C53CA">
            <w:pPr>
              <w:jc w:val="center"/>
              <w:rPr>
                <w:rFonts w:hint="eastAsia" w:ascii="宋体" w:hAnsi="宋体" w:eastAsia="宋体" w:cs="宋体"/>
                <w:b w:val="0"/>
                <w:bCs w:val="0"/>
                <w:color w:val="auto"/>
                <w:sz w:val="21"/>
                <w:szCs w:val="20"/>
                <w:highlight w:val="none"/>
                <w:lang w:val="en-US" w:eastAsia="zh-CN"/>
              </w:rPr>
            </w:pPr>
            <w:r>
              <w:rPr>
                <w:rFonts w:hint="eastAsia" w:ascii="宋体" w:hAnsi="宋体" w:eastAsia="宋体" w:cs="宋体"/>
                <w:b w:val="0"/>
                <w:bCs w:val="0"/>
                <w:color w:val="auto"/>
                <w:sz w:val="21"/>
                <w:szCs w:val="20"/>
                <w:highlight w:val="none"/>
                <w:lang w:val="en-US" w:eastAsia="zh-CN"/>
              </w:rPr>
              <w:t>4</w:t>
            </w:r>
          </w:p>
        </w:tc>
        <w:tc>
          <w:tcPr>
            <w:tcW w:w="246" w:type="pct"/>
            <w:noWrap w:val="0"/>
            <w:vAlign w:val="center"/>
          </w:tcPr>
          <w:p w14:paraId="5F8644C6">
            <w:pPr>
              <w:jc w:val="center"/>
              <w:rPr>
                <w:rFonts w:hint="eastAsia" w:ascii="宋体" w:hAnsi="宋体" w:eastAsia="宋体" w:cs="宋体"/>
                <w:b w:val="0"/>
                <w:bCs w:val="0"/>
                <w:color w:val="auto"/>
                <w:sz w:val="21"/>
                <w:szCs w:val="20"/>
                <w:highlight w:val="none"/>
                <w:lang w:val="en-US" w:eastAsia="zh-CN"/>
              </w:rPr>
            </w:pPr>
          </w:p>
        </w:tc>
        <w:tc>
          <w:tcPr>
            <w:tcW w:w="588" w:type="pct"/>
            <w:noWrap w:val="0"/>
            <w:vAlign w:val="center"/>
          </w:tcPr>
          <w:p w14:paraId="1A27A15A">
            <w:pPr>
              <w:jc w:val="center"/>
              <w:rPr>
                <w:rFonts w:hint="eastAsia" w:ascii="宋体" w:hAnsi="宋体" w:eastAsia="宋体" w:cs="宋体"/>
                <w:b w:val="0"/>
                <w:bCs w:val="0"/>
                <w:color w:val="auto"/>
                <w:kern w:val="2"/>
                <w:sz w:val="21"/>
                <w:szCs w:val="20"/>
                <w:highlight w:val="none"/>
                <w:lang w:val="en-US" w:eastAsia="zh-CN" w:bidi="ar-SA"/>
              </w:rPr>
            </w:pPr>
            <w:r>
              <w:rPr>
                <w:rFonts w:hint="eastAsia" w:ascii="宋体" w:hAnsi="宋体" w:eastAsia="宋体" w:cs="宋体"/>
                <w:b w:val="0"/>
                <w:bCs w:val="0"/>
                <w:color w:val="auto"/>
                <w:sz w:val="21"/>
                <w:szCs w:val="20"/>
                <w:highlight w:val="none"/>
                <w:lang w:val="en-US" w:eastAsia="zh-CN"/>
              </w:rPr>
              <w:t>牵引车</w:t>
            </w:r>
          </w:p>
        </w:tc>
        <w:tc>
          <w:tcPr>
            <w:tcW w:w="520" w:type="pct"/>
            <w:noWrap w:val="0"/>
            <w:vAlign w:val="center"/>
          </w:tcPr>
          <w:p w14:paraId="10B43FDE">
            <w:pPr>
              <w:jc w:val="center"/>
              <w:rPr>
                <w:rFonts w:hint="eastAsia" w:ascii="宋体" w:hAnsi="宋体" w:eastAsia="宋体" w:cs="宋体"/>
                <w:b w:val="0"/>
                <w:bCs w:val="0"/>
                <w:color w:val="auto"/>
                <w:sz w:val="21"/>
                <w:szCs w:val="20"/>
                <w:highlight w:val="none"/>
                <w:lang w:val="en-US" w:eastAsia="zh-CN"/>
              </w:rPr>
            </w:pPr>
          </w:p>
        </w:tc>
        <w:tc>
          <w:tcPr>
            <w:tcW w:w="2203" w:type="pct"/>
            <w:noWrap w:val="0"/>
            <w:vAlign w:val="center"/>
          </w:tcPr>
          <w:p w14:paraId="73506854">
            <w:pPr>
              <w:jc w:val="center"/>
              <w:rPr>
                <w:rFonts w:hint="eastAsia" w:ascii="宋体" w:hAnsi="宋体" w:eastAsia="宋体" w:cs="宋体"/>
                <w:b w:val="0"/>
                <w:bCs w:val="0"/>
                <w:color w:val="auto"/>
                <w:sz w:val="21"/>
                <w:szCs w:val="20"/>
                <w:highlight w:val="none"/>
                <w:lang w:val="en-US" w:eastAsia="zh-CN"/>
              </w:rPr>
            </w:pPr>
          </w:p>
        </w:tc>
        <w:tc>
          <w:tcPr>
            <w:tcW w:w="1095" w:type="pct"/>
            <w:noWrap w:val="0"/>
            <w:vAlign w:val="center"/>
          </w:tcPr>
          <w:p w14:paraId="54930CFD">
            <w:pPr>
              <w:jc w:val="center"/>
              <w:rPr>
                <w:rFonts w:hint="eastAsia" w:ascii="宋体" w:hAnsi="宋体" w:eastAsia="宋体" w:cs="宋体"/>
                <w:b w:val="0"/>
                <w:bCs w:val="0"/>
                <w:color w:val="auto"/>
                <w:sz w:val="21"/>
                <w:szCs w:val="20"/>
                <w:highlight w:val="none"/>
                <w:lang w:val="en-US" w:eastAsia="zh-CN"/>
              </w:rPr>
            </w:pPr>
          </w:p>
        </w:tc>
      </w:tr>
      <w:tr w14:paraId="349173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5" w:hRule="atLeast"/>
          <w:jc w:val="center"/>
        </w:trPr>
        <w:tc>
          <w:tcPr>
            <w:tcW w:w="345" w:type="pct"/>
            <w:noWrap w:val="0"/>
            <w:vAlign w:val="center"/>
          </w:tcPr>
          <w:p w14:paraId="57C0A2CD">
            <w:pPr>
              <w:jc w:val="center"/>
              <w:rPr>
                <w:rFonts w:hint="eastAsia" w:ascii="宋体" w:hAnsi="宋体" w:eastAsia="宋体" w:cs="宋体"/>
                <w:b w:val="0"/>
                <w:bCs w:val="0"/>
                <w:color w:val="auto"/>
                <w:sz w:val="21"/>
                <w:szCs w:val="20"/>
                <w:highlight w:val="none"/>
                <w:lang w:val="en-US" w:eastAsia="zh-CN"/>
              </w:rPr>
            </w:pPr>
          </w:p>
        </w:tc>
        <w:tc>
          <w:tcPr>
            <w:tcW w:w="246" w:type="pct"/>
            <w:noWrap w:val="0"/>
            <w:vAlign w:val="center"/>
          </w:tcPr>
          <w:p w14:paraId="716EA443">
            <w:pPr>
              <w:jc w:val="center"/>
              <w:rPr>
                <w:rFonts w:hint="eastAsia" w:ascii="宋体" w:hAnsi="宋体" w:eastAsia="宋体" w:cs="宋体"/>
                <w:b w:val="0"/>
                <w:bCs w:val="0"/>
                <w:color w:val="auto"/>
                <w:sz w:val="21"/>
                <w:szCs w:val="20"/>
                <w:highlight w:val="none"/>
                <w:lang w:val="en-US" w:eastAsia="zh-CN"/>
              </w:rPr>
            </w:pPr>
          </w:p>
        </w:tc>
        <w:tc>
          <w:tcPr>
            <w:tcW w:w="588" w:type="pct"/>
            <w:noWrap w:val="0"/>
            <w:vAlign w:val="center"/>
          </w:tcPr>
          <w:p w14:paraId="0BEC6CEB">
            <w:pPr>
              <w:jc w:val="center"/>
              <w:rPr>
                <w:rFonts w:hint="eastAsia" w:ascii="宋体" w:hAnsi="宋体" w:eastAsia="宋体" w:cs="宋体"/>
                <w:b w:val="0"/>
                <w:bCs w:val="0"/>
                <w:color w:val="auto"/>
                <w:sz w:val="21"/>
                <w:szCs w:val="20"/>
                <w:highlight w:val="none"/>
                <w:lang w:val="en-US" w:eastAsia="zh-CN"/>
              </w:rPr>
            </w:pPr>
          </w:p>
        </w:tc>
        <w:tc>
          <w:tcPr>
            <w:tcW w:w="520" w:type="pct"/>
            <w:noWrap w:val="0"/>
            <w:vAlign w:val="center"/>
          </w:tcPr>
          <w:p w14:paraId="5EE012B0">
            <w:pPr>
              <w:jc w:val="center"/>
              <w:rPr>
                <w:rFonts w:hint="eastAsia" w:ascii="宋体" w:hAnsi="宋体" w:eastAsia="宋体" w:cs="宋体"/>
                <w:b w:val="0"/>
                <w:bCs w:val="0"/>
                <w:color w:val="auto"/>
                <w:sz w:val="21"/>
                <w:szCs w:val="20"/>
                <w:highlight w:val="none"/>
                <w:lang w:val="en-US" w:eastAsia="zh-CN"/>
              </w:rPr>
            </w:pPr>
          </w:p>
        </w:tc>
        <w:tc>
          <w:tcPr>
            <w:tcW w:w="2203" w:type="pct"/>
            <w:noWrap w:val="0"/>
            <w:vAlign w:val="center"/>
          </w:tcPr>
          <w:p w14:paraId="1E737201">
            <w:pPr>
              <w:jc w:val="center"/>
              <w:rPr>
                <w:rFonts w:hint="eastAsia" w:ascii="宋体" w:hAnsi="宋体" w:eastAsia="宋体" w:cs="宋体"/>
                <w:b w:val="0"/>
                <w:bCs w:val="0"/>
                <w:color w:val="auto"/>
                <w:sz w:val="21"/>
                <w:szCs w:val="20"/>
                <w:highlight w:val="none"/>
                <w:lang w:val="en-US" w:eastAsia="zh-CN"/>
              </w:rPr>
            </w:pPr>
            <w:r>
              <w:rPr>
                <w:rFonts w:hint="eastAsia" w:ascii="宋体" w:hAnsi="宋体" w:eastAsia="宋体" w:cs="宋体"/>
                <w:b w:val="0"/>
                <w:bCs w:val="0"/>
                <w:color w:val="auto"/>
                <w:sz w:val="21"/>
                <w:szCs w:val="20"/>
                <w:highlight w:val="none"/>
                <w:lang w:val="en-US" w:eastAsia="zh-CN"/>
              </w:rPr>
              <w:t>供应商自行增加</w:t>
            </w:r>
          </w:p>
        </w:tc>
        <w:tc>
          <w:tcPr>
            <w:tcW w:w="1095" w:type="pct"/>
            <w:noWrap w:val="0"/>
            <w:vAlign w:val="center"/>
          </w:tcPr>
          <w:p w14:paraId="469238BD">
            <w:pPr>
              <w:jc w:val="center"/>
              <w:rPr>
                <w:rFonts w:hint="eastAsia" w:ascii="宋体" w:hAnsi="宋体" w:eastAsia="宋体" w:cs="宋体"/>
                <w:b w:val="0"/>
                <w:bCs w:val="0"/>
                <w:color w:val="auto"/>
                <w:sz w:val="21"/>
                <w:szCs w:val="20"/>
                <w:highlight w:val="none"/>
                <w:lang w:val="en-US" w:eastAsia="zh-CN"/>
              </w:rPr>
            </w:pPr>
          </w:p>
        </w:tc>
      </w:tr>
    </w:tbl>
    <w:p w14:paraId="45ADB7D9">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注：（1）车辆要求及采购包专用资质要求详见公告。（2）车辆具体信息表供应商提供材料务必清晰准确，供应商可调整表格格式及后附相关材料。</w:t>
      </w:r>
    </w:p>
    <w:p w14:paraId="2BF9EA2F">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3.其他须提供车辆说明材料（如租赁协议、付款记录等材料，要求详见公告，格式自拟）。</w:t>
      </w:r>
    </w:p>
    <w:p w14:paraId="52D4CCAF">
      <w:pPr>
        <w:rPr>
          <w:rFonts w:hint="eastAsia" w:ascii="宋体" w:hAnsi="宋体" w:eastAsia="宋体" w:cs="宋体"/>
          <w:b/>
          <w:bCs/>
          <w:snapToGrid w:val="0"/>
          <w:color w:val="auto"/>
          <w:kern w:val="0"/>
          <w:sz w:val="24"/>
          <w:highlight w:val="none"/>
          <w:lang w:val="en-US" w:eastAsia="zh-CN" w:bidi="en-US"/>
        </w:rPr>
      </w:pPr>
      <w:r>
        <w:rPr>
          <w:rFonts w:hint="eastAsia" w:ascii="宋体" w:hAnsi="宋体" w:eastAsia="宋体" w:cs="宋体"/>
          <w:color w:val="auto"/>
          <w:sz w:val="24"/>
          <w:szCs w:val="24"/>
          <w:highlight w:val="none"/>
        </w:rPr>
        <w:br w:type="page"/>
      </w:r>
      <w:r>
        <w:rPr>
          <w:rFonts w:hint="eastAsia" w:ascii="宋体" w:hAnsi="宋体" w:eastAsia="宋体" w:cs="宋体"/>
          <w:b/>
          <w:bCs/>
          <w:snapToGrid w:val="0"/>
          <w:color w:val="auto"/>
          <w:kern w:val="0"/>
          <w:sz w:val="24"/>
          <w:highlight w:val="none"/>
          <w:lang w:bidi="en-US"/>
        </w:rPr>
        <w:t>附件</w:t>
      </w:r>
      <w:r>
        <w:rPr>
          <w:rFonts w:hint="eastAsia" w:ascii="宋体" w:hAnsi="宋体" w:eastAsia="宋体" w:cs="宋体"/>
          <w:b/>
          <w:bCs/>
          <w:snapToGrid w:val="0"/>
          <w:color w:val="auto"/>
          <w:kern w:val="0"/>
          <w:sz w:val="24"/>
          <w:highlight w:val="none"/>
          <w:lang w:val="en-US" w:eastAsia="zh-CN" w:bidi="en-US"/>
        </w:rPr>
        <w:t>5：</w:t>
      </w:r>
    </w:p>
    <w:p w14:paraId="193B9E9F">
      <w:pPr>
        <w:adjustRightInd w:val="0"/>
        <w:snapToGrid w:val="0"/>
        <w:spacing w:line="400" w:lineRule="exact"/>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关于中粮集团汽运集采项目供应商违约情况的处理意见</w:t>
      </w:r>
    </w:p>
    <w:p w14:paraId="107AD862">
      <w:pPr>
        <w:widowControl/>
        <w:adjustRightInd w:val="0"/>
        <w:snapToGrid w:val="0"/>
        <w:spacing w:line="360" w:lineRule="auto"/>
        <w:ind w:firstLine="420" w:firstLineChars="200"/>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为进一步加强物流供应商管理，规范解决汽运供应商集采过程中出现的问题，现明确以下处理要求，请各相关专业化公司遵照执行。</w:t>
      </w:r>
    </w:p>
    <w:p w14:paraId="543BBCFB">
      <w:pPr>
        <w:widowControl/>
        <w:adjustRightInd w:val="0"/>
        <w:snapToGrid w:val="0"/>
        <w:spacing w:line="360" w:lineRule="auto"/>
        <w:ind w:firstLine="420" w:firstLineChars="200"/>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一、</w:t>
      </w:r>
      <w:r>
        <w:rPr>
          <w:rFonts w:hint="eastAsia" w:ascii="宋体" w:hAnsi="宋体" w:eastAsia="宋体" w:cs="宋体"/>
          <w:color w:val="auto"/>
          <w:kern w:val="0"/>
          <w:szCs w:val="21"/>
          <w:highlight w:val="none"/>
          <w:lang w:eastAsia="zh-CN" w:bidi="ar"/>
        </w:rPr>
        <w:t>成交供应商</w:t>
      </w:r>
      <w:r>
        <w:rPr>
          <w:rFonts w:hint="eastAsia" w:ascii="宋体" w:hAnsi="宋体" w:eastAsia="宋体" w:cs="宋体"/>
          <w:color w:val="auto"/>
          <w:kern w:val="0"/>
          <w:szCs w:val="21"/>
          <w:highlight w:val="none"/>
          <w:lang w:bidi="ar"/>
        </w:rPr>
        <w:t>拒不签约的，不予退还其</w:t>
      </w:r>
      <w:r>
        <w:rPr>
          <w:rFonts w:hint="eastAsia" w:ascii="宋体" w:hAnsi="宋体" w:eastAsia="宋体" w:cs="宋体"/>
          <w:color w:val="auto"/>
          <w:kern w:val="0"/>
          <w:szCs w:val="21"/>
          <w:highlight w:val="none"/>
          <w:lang w:eastAsia="zh-CN" w:bidi="ar"/>
        </w:rPr>
        <w:t>响应保证金</w:t>
      </w:r>
      <w:r>
        <w:rPr>
          <w:rFonts w:hint="eastAsia" w:ascii="宋体" w:hAnsi="宋体" w:eastAsia="宋体" w:cs="宋体"/>
          <w:color w:val="auto"/>
          <w:kern w:val="0"/>
          <w:szCs w:val="21"/>
          <w:highlight w:val="none"/>
          <w:lang w:bidi="ar"/>
        </w:rPr>
        <w:t>5万元，列入中粮E采失信客商名单，向集团所有专业化公司公示，自公示之日起2年内取消对中粮集团汽运集采项目的投标资格。</w:t>
      </w:r>
    </w:p>
    <w:p w14:paraId="0F23DFBB">
      <w:pPr>
        <w:widowControl/>
        <w:adjustRightInd w:val="0"/>
        <w:snapToGrid w:val="0"/>
        <w:spacing w:line="360" w:lineRule="auto"/>
        <w:ind w:firstLine="420" w:firstLineChars="200"/>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二、</w:t>
      </w:r>
      <w:r>
        <w:rPr>
          <w:rFonts w:hint="eastAsia" w:ascii="宋体" w:hAnsi="宋体" w:eastAsia="宋体" w:cs="宋体"/>
          <w:color w:val="auto"/>
          <w:kern w:val="0"/>
          <w:szCs w:val="21"/>
          <w:highlight w:val="none"/>
          <w:lang w:eastAsia="zh-CN" w:bidi="ar"/>
        </w:rPr>
        <w:t>成交供应商</w:t>
      </w:r>
      <w:r>
        <w:rPr>
          <w:rFonts w:hint="eastAsia" w:ascii="宋体" w:hAnsi="宋体" w:eastAsia="宋体" w:cs="宋体"/>
          <w:color w:val="auto"/>
          <w:kern w:val="0"/>
          <w:szCs w:val="21"/>
          <w:highlight w:val="none"/>
          <w:lang w:bidi="ar"/>
        </w:rPr>
        <w:t>签约后拒绝执行或部分执行的，扣除履约保证金（按照各专业化公司收取标准），列入中粮E采失信客商名单，向集团所有专业化公司公示，自公示之日起2年内取消对中粮集团汽运集采项目的投标资格。</w:t>
      </w:r>
    </w:p>
    <w:p w14:paraId="1CB6E916">
      <w:pPr>
        <w:widowControl/>
        <w:adjustRightInd w:val="0"/>
        <w:snapToGrid w:val="0"/>
        <w:spacing w:line="360" w:lineRule="auto"/>
        <w:ind w:firstLine="420" w:firstLineChars="200"/>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三、供应商中选多个</w:t>
      </w:r>
      <w:r>
        <w:rPr>
          <w:rFonts w:hint="eastAsia" w:ascii="宋体" w:hAnsi="宋体" w:eastAsia="宋体" w:cs="宋体"/>
          <w:color w:val="auto"/>
          <w:kern w:val="0"/>
          <w:szCs w:val="21"/>
          <w:highlight w:val="none"/>
          <w:lang w:eastAsia="zh-CN" w:bidi="ar"/>
        </w:rPr>
        <w:t>采购包</w:t>
      </w:r>
      <w:r>
        <w:rPr>
          <w:rFonts w:hint="eastAsia" w:ascii="宋体" w:hAnsi="宋体" w:eastAsia="宋体" w:cs="宋体"/>
          <w:color w:val="auto"/>
          <w:kern w:val="0"/>
          <w:szCs w:val="21"/>
          <w:highlight w:val="none"/>
          <w:lang w:bidi="ar"/>
        </w:rPr>
        <w:t>，其中部分不签约或签约后未执行及部分执行的，取消所有</w:t>
      </w:r>
      <w:r>
        <w:rPr>
          <w:rFonts w:hint="eastAsia" w:ascii="宋体" w:hAnsi="宋体" w:eastAsia="宋体" w:cs="宋体"/>
          <w:color w:val="auto"/>
          <w:kern w:val="0"/>
          <w:szCs w:val="21"/>
          <w:highlight w:val="none"/>
          <w:lang w:eastAsia="zh-CN" w:bidi="ar"/>
        </w:rPr>
        <w:t>采购包</w:t>
      </w:r>
      <w:r>
        <w:rPr>
          <w:rFonts w:hint="eastAsia" w:ascii="宋体" w:hAnsi="宋体" w:eastAsia="宋体" w:cs="宋体"/>
          <w:color w:val="auto"/>
          <w:kern w:val="0"/>
          <w:szCs w:val="21"/>
          <w:highlight w:val="none"/>
          <w:lang w:bidi="ar"/>
        </w:rPr>
        <w:t>合作，并按照第一、二条款内容处理。</w:t>
      </w:r>
    </w:p>
    <w:p w14:paraId="02B92C85">
      <w:pPr>
        <w:widowControl/>
        <w:adjustRightInd w:val="0"/>
        <w:snapToGrid w:val="0"/>
        <w:spacing w:line="360" w:lineRule="auto"/>
        <w:ind w:firstLine="420" w:firstLineChars="200"/>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四、存在第一、第二条款违约情形的供应商，如存在本次汽运集采之外的在执行合同，合同履行完毕后起算禁止投标期限。</w:t>
      </w:r>
    </w:p>
    <w:p w14:paraId="7300D938">
      <w:pPr>
        <w:widowControl/>
        <w:adjustRightInd w:val="0"/>
        <w:snapToGrid w:val="0"/>
        <w:spacing w:line="360" w:lineRule="auto"/>
        <w:ind w:firstLine="420" w:firstLineChars="200"/>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五、供应商出现不签约、不执行或部分执行等行为时，要与其进行充分沟通，督促其继续履行合同，沟通无效后再进行相应处理。对尚未造成违约事实的供应商，可正式书面澄清一次，请其期限内书面确认，超期无确认的视为违约；对已造成违约事实并按规定列入失信名单的供应商，正式通知该供应商。</w:t>
      </w:r>
    </w:p>
    <w:p w14:paraId="1C9206BE">
      <w:pPr>
        <w:widowControl/>
        <w:adjustRightInd w:val="0"/>
        <w:snapToGrid w:val="0"/>
        <w:spacing w:line="360" w:lineRule="auto"/>
        <w:ind w:firstLine="420" w:firstLineChars="200"/>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六、以上条款只针对实际违约的供应商法人主体，与其关联的其他企业无关。</w:t>
      </w:r>
    </w:p>
    <w:p w14:paraId="34A8AD79">
      <w:pPr>
        <w:spacing w:line="360" w:lineRule="auto"/>
        <w:ind w:right="24" w:firstLine="440" w:firstLineChars="200"/>
        <w:jc w:val="right"/>
        <w:rPr>
          <w:rFonts w:hint="eastAsia" w:ascii="宋体" w:hAnsi="宋体" w:eastAsia="宋体" w:cs="宋体"/>
          <w:color w:val="auto"/>
          <w:sz w:val="22"/>
          <w:szCs w:val="22"/>
          <w:highlight w:val="none"/>
          <w:lang w:bidi="ar"/>
        </w:rPr>
      </w:pPr>
      <w:r>
        <w:rPr>
          <w:rFonts w:hint="eastAsia" w:ascii="宋体" w:hAnsi="宋体" w:eastAsia="宋体" w:cs="宋体"/>
          <w:color w:val="auto"/>
          <w:sz w:val="22"/>
          <w:szCs w:val="22"/>
          <w:highlight w:val="none"/>
          <w:lang w:bidi="ar"/>
        </w:rPr>
        <w:t>中粮集团国内物流业务工作组</w:t>
      </w:r>
    </w:p>
    <w:p w14:paraId="5CFFF268">
      <w:pPr>
        <w:jc w:val="right"/>
        <w:rPr>
          <w:rFonts w:hint="eastAsia" w:ascii="宋体" w:hAnsi="宋体" w:eastAsia="宋体" w:cs="宋体"/>
          <w:b w:val="0"/>
          <w:bCs w:val="0"/>
          <w:snapToGrid w:val="0"/>
          <w:color w:val="auto"/>
          <w:kern w:val="0"/>
          <w:sz w:val="24"/>
          <w:highlight w:val="none"/>
          <w:lang w:val="en-US" w:eastAsia="zh-CN" w:bidi="en-US"/>
        </w:rPr>
      </w:pPr>
      <w:r>
        <w:rPr>
          <w:rFonts w:hint="eastAsia" w:ascii="宋体" w:hAnsi="宋体" w:eastAsia="宋体" w:cs="宋体"/>
          <w:b w:val="0"/>
          <w:bCs w:val="0"/>
          <w:snapToGrid w:val="0"/>
          <w:color w:val="auto"/>
          <w:kern w:val="0"/>
          <w:sz w:val="24"/>
          <w:highlight w:val="none"/>
          <w:lang w:val="en-US" w:eastAsia="zh-CN" w:bidi="en-US"/>
        </w:rPr>
        <w:t>2026年2月</w:t>
      </w:r>
    </w:p>
    <w:p w14:paraId="480CC99F">
      <w:pPr>
        <w:rPr>
          <w:rFonts w:hint="eastAsia" w:ascii="宋体" w:hAnsi="宋体" w:eastAsia="宋体" w:cs="宋体"/>
          <w:b/>
          <w:bCs/>
          <w:snapToGrid w:val="0"/>
          <w:color w:val="auto"/>
          <w:kern w:val="0"/>
          <w:sz w:val="24"/>
          <w:highlight w:val="none"/>
          <w:lang w:bidi="en-US"/>
        </w:rPr>
      </w:pPr>
      <w:r>
        <w:rPr>
          <w:rFonts w:hint="eastAsia" w:ascii="宋体" w:hAnsi="宋体" w:eastAsia="宋体" w:cs="宋体"/>
          <w:b/>
          <w:bCs/>
          <w:snapToGrid w:val="0"/>
          <w:color w:val="auto"/>
          <w:kern w:val="0"/>
          <w:sz w:val="24"/>
          <w:highlight w:val="none"/>
          <w:lang w:bidi="en-US"/>
        </w:rPr>
        <w:br w:type="page"/>
      </w:r>
      <w:r>
        <w:rPr>
          <w:rFonts w:hint="eastAsia" w:ascii="宋体" w:hAnsi="宋体" w:eastAsia="宋体" w:cs="宋体"/>
          <w:b/>
          <w:bCs/>
          <w:snapToGrid w:val="0"/>
          <w:color w:val="auto"/>
          <w:kern w:val="0"/>
          <w:sz w:val="24"/>
          <w:highlight w:val="none"/>
          <w:lang w:bidi="en-US"/>
        </w:rPr>
        <w:t>附件</w:t>
      </w:r>
      <w:r>
        <w:rPr>
          <w:rFonts w:hint="eastAsia" w:ascii="宋体" w:hAnsi="宋体" w:eastAsia="宋体" w:cs="宋体"/>
          <w:b/>
          <w:bCs/>
          <w:snapToGrid w:val="0"/>
          <w:color w:val="auto"/>
          <w:kern w:val="0"/>
          <w:sz w:val="24"/>
          <w:highlight w:val="none"/>
          <w:lang w:val="en-US" w:eastAsia="zh-CN" w:bidi="en-US"/>
        </w:rPr>
        <w:t>6</w:t>
      </w:r>
      <w:r>
        <w:rPr>
          <w:rFonts w:hint="eastAsia" w:ascii="宋体" w:hAnsi="宋体" w:eastAsia="宋体" w:cs="宋体"/>
          <w:b/>
          <w:bCs/>
          <w:snapToGrid w:val="0"/>
          <w:color w:val="auto"/>
          <w:kern w:val="0"/>
          <w:sz w:val="24"/>
          <w:highlight w:val="none"/>
          <w:lang w:bidi="en-US"/>
        </w:rPr>
        <w:t>：</w:t>
      </w:r>
    </w:p>
    <w:p w14:paraId="138004B4">
      <w:pPr>
        <w:snapToGrid w:val="0"/>
        <w:spacing w:line="360" w:lineRule="auto"/>
        <w:jc w:val="center"/>
        <w:rPr>
          <w:rFonts w:hint="eastAsia" w:ascii="宋体" w:hAnsi="宋体" w:eastAsia="宋体" w:cs="宋体"/>
          <w:b/>
          <w:bCs/>
          <w:snapToGrid w:val="0"/>
          <w:color w:val="auto"/>
          <w:kern w:val="0"/>
          <w:sz w:val="24"/>
          <w:highlight w:val="none"/>
          <w:lang w:val="en-US" w:eastAsia="zh-CN" w:bidi="en-US"/>
        </w:rPr>
      </w:pPr>
      <w:r>
        <w:rPr>
          <w:rFonts w:hint="eastAsia" w:ascii="宋体" w:hAnsi="宋体" w:eastAsia="宋体" w:cs="宋体"/>
          <w:b/>
          <w:bCs/>
          <w:snapToGrid w:val="0"/>
          <w:color w:val="auto"/>
          <w:kern w:val="0"/>
          <w:sz w:val="24"/>
          <w:highlight w:val="none"/>
          <w:lang w:val="en-US" w:eastAsia="zh-CN" w:bidi="en-US"/>
        </w:rPr>
        <w:t>通用承诺函</w:t>
      </w:r>
    </w:p>
    <w:p w14:paraId="54A1CEC8">
      <w:pPr>
        <w:snapToGrid w:val="0"/>
        <w:spacing w:line="360" w:lineRule="auto"/>
        <w:ind w:firstLine="420"/>
        <w:rPr>
          <w:rFonts w:hint="eastAsia" w:ascii="宋体" w:hAnsi="宋体" w:eastAsia="宋体" w:cs="宋体"/>
          <w:color w:val="auto"/>
          <w:sz w:val="24"/>
          <w:szCs w:val="24"/>
          <w:highlight w:val="none"/>
          <w:u w:val="single"/>
          <w:lang w:bidi="en-US"/>
        </w:rPr>
      </w:pPr>
      <w:r>
        <w:rPr>
          <w:rFonts w:hint="eastAsia" w:ascii="宋体" w:hAnsi="宋体" w:eastAsia="宋体" w:cs="宋体"/>
          <w:snapToGrid w:val="0"/>
          <w:color w:val="auto"/>
          <w:kern w:val="0"/>
          <w:sz w:val="24"/>
          <w:szCs w:val="24"/>
          <w:highlight w:val="none"/>
          <w:lang w:bidi="en-US"/>
        </w:rPr>
        <w:t>致：</w:t>
      </w:r>
      <w:r>
        <w:rPr>
          <w:rFonts w:hint="eastAsia" w:ascii="宋体" w:hAnsi="宋体" w:eastAsia="宋体" w:cs="宋体"/>
          <w:color w:val="auto"/>
          <w:sz w:val="24"/>
          <w:szCs w:val="24"/>
          <w:highlight w:val="none"/>
          <w:u w:val="single"/>
          <w:lang w:bidi="ar"/>
        </w:rPr>
        <w:t>中粮集团有限公司</w:t>
      </w:r>
      <w:r>
        <w:rPr>
          <w:rFonts w:hint="eastAsia" w:ascii="宋体" w:hAnsi="宋体" w:eastAsia="宋体" w:cs="宋体"/>
          <w:color w:val="auto"/>
          <w:sz w:val="24"/>
          <w:szCs w:val="24"/>
          <w:highlight w:val="none"/>
          <w:lang w:bidi="en-US"/>
        </w:rPr>
        <w:t xml:space="preserve"> </w:t>
      </w:r>
    </w:p>
    <w:p w14:paraId="7ED37C37">
      <w:pPr>
        <w:snapToGrid w:val="0"/>
        <w:spacing w:line="360" w:lineRule="auto"/>
        <w:ind w:firstLine="420"/>
        <w:rPr>
          <w:rFonts w:hint="eastAsia" w:ascii="宋体" w:hAnsi="宋体" w:eastAsia="宋体" w:cs="宋体"/>
          <w:snapToGrid w:val="0"/>
          <w:color w:val="auto"/>
          <w:kern w:val="0"/>
          <w:sz w:val="24"/>
          <w:szCs w:val="24"/>
          <w:highlight w:val="none"/>
          <w:lang w:bidi="en-US"/>
        </w:rPr>
      </w:pPr>
      <w:r>
        <w:rPr>
          <w:rFonts w:hint="eastAsia" w:ascii="宋体" w:hAnsi="宋体" w:eastAsia="宋体" w:cs="宋体"/>
          <w:color w:val="auto"/>
          <w:sz w:val="24"/>
          <w:szCs w:val="24"/>
          <w:highlight w:val="none"/>
          <w:lang w:bidi="en-US"/>
        </w:rPr>
        <w:t xml:space="preserve">   </w:t>
      </w:r>
      <w:r>
        <w:rPr>
          <w:rFonts w:hint="eastAsia" w:ascii="宋体" w:hAnsi="宋体" w:eastAsia="宋体" w:cs="宋体"/>
          <w:color w:val="auto"/>
          <w:sz w:val="24"/>
          <w:szCs w:val="24"/>
          <w:highlight w:val="none"/>
          <w:lang w:val="en-US" w:eastAsia="zh-CN" w:bidi="en-US"/>
        </w:rPr>
        <w:t xml:space="preserve"> </w:t>
      </w:r>
      <w:r>
        <w:rPr>
          <w:rFonts w:hint="eastAsia" w:ascii="宋体" w:hAnsi="宋体" w:eastAsia="宋体" w:cs="宋体"/>
          <w:color w:val="auto"/>
          <w:sz w:val="24"/>
          <w:szCs w:val="24"/>
          <w:highlight w:val="none"/>
          <w:u w:val="single"/>
          <w:lang w:bidi="en-US"/>
        </w:rPr>
        <w:t>安徽省招标集团股份有限公司</w:t>
      </w:r>
    </w:p>
    <w:p w14:paraId="1530FFAD">
      <w:pPr>
        <w:snapToGrid w:val="0"/>
        <w:spacing w:line="360" w:lineRule="auto"/>
        <w:ind w:firstLine="480" w:firstLineChars="200"/>
        <w:rPr>
          <w:rFonts w:hint="eastAsia" w:ascii="宋体" w:hAnsi="宋体" w:eastAsia="宋体" w:cs="宋体"/>
          <w:snapToGrid w:val="0"/>
          <w:color w:val="auto"/>
          <w:kern w:val="0"/>
          <w:sz w:val="24"/>
          <w:szCs w:val="24"/>
          <w:highlight w:val="none"/>
          <w:lang w:bidi="en-US"/>
        </w:rPr>
      </w:pPr>
      <w:r>
        <w:rPr>
          <w:rFonts w:hint="eastAsia" w:ascii="宋体" w:hAnsi="宋体" w:eastAsia="宋体" w:cs="宋体"/>
          <w:snapToGrid w:val="0"/>
          <w:color w:val="auto"/>
          <w:kern w:val="0"/>
          <w:sz w:val="24"/>
          <w:szCs w:val="24"/>
          <w:highlight w:val="none"/>
          <w:lang w:bidi="en-US"/>
        </w:rPr>
        <w:t>本单位郑重承诺：</w:t>
      </w:r>
    </w:p>
    <w:p w14:paraId="0720E404">
      <w:pPr>
        <w:snapToGrid w:val="0"/>
        <w:spacing w:line="360" w:lineRule="auto"/>
        <w:ind w:firstLine="480" w:firstLineChars="200"/>
        <w:rPr>
          <w:rFonts w:hint="eastAsia" w:ascii="宋体" w:hAnsi="宋体" w:eastAsia="宋体" w:cs="宋体"/>
          <w:snapToGrid w:val="0"/>
          <w:color w:val="auto"/>
          <w:kern w:val="0"/>
          <w:sz w:val="24"/>
          <w:szCs w:val="24"/>
          <w:highlight w:val="none"/>
          <w:lang w:bidi="en-US"/>
        </w:rPr>
      </w:pPr>
      <w:r>
        <w:rPr>
          <w:rFonts w:hint="eastAsia" w:ascii="宋体" w:hAnsi="宋体" w:eastAsia="宋体" w:cs="宋体"/>
          <w:snapToGrid w:val="0"/>
          <w:color w:val="auto"/>
          <w:kern w:val="0"/>
          <w:sz w:val="24"/>
          <w:szCs w:val="24"/>
          <w:highlight w:val="none"/>
          <w:lang w:bidi="en-US"/>
        </w:rPr>
        <w:t>我单位未被中粮集团、中粮各专业化公司列入黑名单或惩戒名单（被列入专业化公司黑名单的不得向相应专业化公司提供报价）；不存在单位负责人为同一人，或者存在控股、管理关系的不同单位参加同一</w:t>
      </w:r>
      <w:r>
        <w:rPr>
          <w:rFonts w:hint="eastAsia" w:ascii="宋体" w:hAnsi="宋体" w:eastAsia="宋体" w:cs="宋体"/>
          <w:snapToGrid w:val="0"/>
          <w:color w:val="auto"/>
          <w:kern w:val="0"/>
          <w:sz w:val="24"/>
          <w:szCs w:val="24"/>
          <w:highlight w:val="none"/>
          <w:lang w:eastAsia="zh-CN" w:bidi="en-US"/>
        </w:rPr>
        <w:t>采购包</w:t>
      </w:r>
      <w:r>
        <w:rPr>
          <w:rFonts w:hint="eastAsia" w:ascii="宋体" w:hAnsi="宋体" w:eastAsia="宋体" w:cs="宋体"/>
          <w:snapToGrid w:val="0"/>
          <w:color w:val="auto"/>
          <w:kern w:val="0"/>
          <w:sz w:val="24"/>
          <w:szCs w:val="24"/>
          <w:highlight w:val="none"/>
          <w:lang w:bidi="en-US"/>
        </w:rPr>
        <w:t>或者未划分</w:t>
      </w:r>
      <w:r>
        <w:rPr>
          <w:rFonts w:hint="eastAsia" w:ascii="宋体" w:hAnsi="宋体" w:eastAsia="宋体" w:cs="宋体"/>
          <w:snapToGrid w:val="0"/>
          <w:color w:val="auto"/>
          <w:kern w:val="0"/>
          <w:sz w:val="24"/>
          <w:szCs w:val="24"/>
          <w:highlight w:val="none"/>
          <w:lang w:eastAsia="zh-CN" w:bidi="en-US"/>
        </w:rPr>
        <w:t>采购包</w:t>
      </w:r>
      <w:r>
        <w:rPr>
          <w:rFonts w:hint="eastAsia" w:ascii="宋体" w:hAnsi="宋体" w:eastAsia="宋体" w:cs="宋体"/>
          <w:snapToGrid w:val="0"/>
          <w:color w:val="auto"/>
          <w:kern w:val="0"/>
          <w:sz w:val="24"/>
          <w:szCs w:val="24"/>
          <w:highlight w:val="none"/>
          <w:lang w:bidi="en-US"/>
        </w:rPr>
        <w:t>的同一采购项目的情况。</w:t>
      </w:r>
    </w:p>
    <w:p w14:paraId="416EF8A4">
      <w:pPr>
        <w:snapToGrid w:val="0"/>
        <w:spacing w:line="360" w:lineRule="auto"/>
        <w:ind w:firstLine="480" w:firstLineChars="200"/>
        <w:rPr>
          <w:rFonts w:hint="eastAsia" w:ascii="宋体" w:hAnsi="宋体" w:eastAsia="宋体" w:cs="宋体"/>
          <w:snapToGrid w:val="0"/>
          <w:color w:val="auto"/>
          <w:kern w:val="0"/>
          <w:sz w:val="24"/>
          <w:szCs w:val="24"/>
          <w:highlight w:val="none"/>
          <w:lang w:bidi="en-US"/>
        </w:rPr>
      </w:pPr>
      <w:r>
        <w:rPr>
          <w:rFonts w:hint="eastAsia" w:ascii="宋体" w:hAnsi="宋体" w:eastAsia="宋体" w:cs="宋体"/>
          <w:snapToGrid w:val="0"/>
          <w:color w:val="auto"/>
          <w:kern w:val="0"/>
          <w:sz w:val="24"/>
          <w:szCs w:val="24"/>
          <w:highlight w:val="none"/>
          <w:lang w:bidi="en-US"/>
        </w:rPr>
        <w:t>我单位财务状况良好，具有良好的商业信誉和健全的财务会计制度，没有处于财产被没收、接管、破产或其他关、停、并、转的状态，在经营活动中没有重大违法记录，无利用不正当手段骗取成交，无重大经济案件。</w:t>
      </w:r>
    </w:p>
    <w:p w14:paraId="3D7E14CB">
      <w:pPr>
        <w:snapToGrid w:val="0"/>
        <w:spacing w:line="360" w:lineRule="auto"/>
        <w:ind w:firstLine="480" w:firstLineChars="200"/>
        <w:rPr>
          <w:rFonts w:hint="eastAsia" w:ascii="宋体" w:hAnsi="宋体" w:eastAsia="宋体" w:cs="宋体"/>
          <w:snapToGrid w:val="0"/>
          <w:color w:val="auto"/>
          <w:kern w:val="0"/>
          <w:sz w:val="24"/>
          <w:szCs w:val="24"/>
          <w:highlight w:val="none"/>
          <w:lang w:bidi="en-US"/>
        </w:rPr>
      </w:pPr>
      <w:r>
        <w:rPr>
          <w:rFonts w:hint="eastAsia" w:ascii="宋体" w:hAnsi="宋体" w:eastAsia="宋体" w:cs="宋体"/>
          <w:snapToGrid w:val="0"/>
          <w:color w:val="auto"/>
          <w:kern w:val="0"/>
          <w:sz w:val="24"/>
          <w:szCs w:val="24"/>
          <w:highlight w:val="none"/>
          <w:lang w:bidi="en-US"/>
        </w:rPr>
        <w:t>我单位承诺在食品及食品原料运输服务过程中，严格使用装载食品或食品原料的专用容器，不使用非食品、非食品原料容器的运输工具，不与非食品、非食品原料容器的其他运输工具混用、混装，严格遵守食品运输安全相关规定，保证运输环节合规、安全、可追溯。</w:t>
      </w:r>
    </w:p>
    <w:p w14:paraId="2F079690">
      <w:pPr>
        <w:snapToGrid w:val="0"/>
        <w:spacing w:line="360" w:lineRule="auto"/>
        <w:ind w:firstLine="480" w:firstLineChars="200"/>
        <w:rPr>
          <w:rFonts w:hint="eastAsia" w:ascii="宋体" w:hAnsi="宋体" w:eastAsia="宋体" w:cs="宋体"/>
          <w:snapToGrid w:val="0"/>
          <w:color w:val="auto"/>
          <w:kern w:val="0"/>
          <w:sz w:val="24"/>
          <w:szCs w:val="24"/>
          <w:highlight w:val="none"/>
          <w:lang w:bidi="en-US"/>
        </w:rPr>
      </w:pPr>
      <w:r>
        <w:rPr>
          <w:rFonts w:hint="eastAsia" w:ascii="宋体" w:hAnsi="宋体" w:eastAsia="宋体" w:cs="宋体"/>
          <w:snapToGrid w:val="0"/>
          <w:color w:val="auto"/>
          <w:kern w:val="0"/>
          <w:sz w:val="24"/>
          <w:szCs w:val="24"/>
          <w:highlight w:val="none"/>
          <w:lang w:bidi="en-US"/>
        </w:rPr>
        <w:t>我单位承诺国家部委等行业主管机关对物流业务工作有新的管理规定或要求的，遵照新规定或新要求。</w:t>
      </w:r>
    </w:p>
    <w:p w14:paraId="34204320">
      <w:pPr>
        <w:snapToGrid w:val="0"/>
        <w:spacing w:line="360" w:lineRule="auto"/>
        <w:ind w:firstLine="480" w:firstLineChars="200"/>
        <w:rPr>
          <w:rFonts w:hint="eastAsia" w:ascii="宋体" w:hAnsi="宋体" w:eastAsia="宋体" w:cs="宋体"/>
          <w:snapToGrid w:val="0"/>
          <w:color w:val="auto"/>
          <w:kern w:val="0"/>
          <w:sz w:val="24"/>
          <w:szCs w:val="24"/>
          <w:highlight w:val="none"/>
          <w:lang w:bidi="en-US"/>
        </w:rPr>
      </w:pPr>
      <w:r>
        <w:rPr>
          <w:rFonts w:hint="eastAsia" w:ascii="宋体" w:hAnsi="宋体" w:eastAsia="宋体" w:cs="宋体"/>
          <w:snapToGrid w:val="0"/>
          <w:color w:val="auto"/>
          <w:kern w:val="0"/>
          <w:sz w:val="24"/>
          <w:szCs w:val="24"/>
          <w:highlight w:val="none"/>
          <w:lang w:bidi="en-US"/>
        </w:rPr>
        <w:t>我单位承诺已知晓《关于中粮集团汽运集采项目供应商违约情况的处理意见》，若履约阶段出现违约情况，将服从相关处理安排。</w:t>
      </w:r>
    </w:p>
    <w:p w14:paraId="4435828C">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不存在以下不良信用记录的情形（后附查询截图）：①被人民法院列入失信被执行人名单的；②被列入重大税收违法案件当事人（重大税收违法失信主体）名单的；③被市场监督管理部门（或工商行政管理部门）在全国企业信用信息公示系统中列入严重违法失信企业名单。</w:t>
      </w:r>
    </w:p>
    <w:p w14:paraId="69AFC2AF">
      <w:pPr>
        <w:snapToGrid w:val="0"/>
        <w:spacing w:line="360" w:lineRule="auto"/>
        <w:ind w:firstLine="480" w:firstLineChars="200"/>
        <w:rPr>
          <w:rFonts w:hint="eastAsia" w:ascii="宋体" w:hAnsi="宋体" w:eastAsia="宋体" w:cs="宋体"/>
          <w:snapToGrid w:val="0"/>
          <w:color w:val="auto"/>
          <w:kern w:val="0"/>
          <w:sz w:val="24"/>
          <w:szCs w:val="24"/>
          <w:highlight w:val="none"/>
          <w:lang w:bidi="en-US"/>
        </w:rPr>
      </w:pPr>
      <w:r>
        <w:rPr>
          <w:rFonts w:hint="eastAsia" w:ascii="宋体" w:hAnsi="宋体" w:eastAsia="宋体" w:cs="宋体"/>
          <w:snapToGrid w:val="0"/>
          <w:color w:val="auto"/>
          <w:kern w:val="0"/>
          <w:sz w:val="24"/>
          <w:szCs w:val="24"/>
          <w:highlight w:val="none"/>
          <w:lang w:bidi="en-US"/>
        </w:rPr>
        <w:t>我单位对上述声明的真实性负责，如有虚假，采购人有权取消取消我单位的响应资格、成交资格，并将依法承担相应责任。</w:t>
      </w:r>
    </w:p>
    <w:p w14:paraId="024377BC">
      <w:pPr>
        <w:spacing w:line="360" w:lineRule="auto"/>
        <w:ind w:right="24" w:firstLine="440" w:firstLineChars="200"/>
        <w:jc w:val="righ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bidi="ar"/>
        </w:rPr>
        <w:t>供应商：</w:t>
      </w:r>
      <w:r>
        <w:rPr>
          <w:rFonts w:hint="eastAsia" w:ascii="宋体" w:hAnsi="宋体" w:eastAsia="宋体" w:cs="宋体"/>
          <w:color w:val="auto"/>
          <w:sz w:val="22"/>
          <w:szCs w:val="22"/>
          <w:highlight w:val="none"/>
          <w:u w:val="single"/>
          <w:lang w:bidi="ar"/>
        </w:rPr>
        <w:t xml:space="preserve">                  </w:t>
      </w:r>
      <w:r>
        <w:rPr>
          <w:rFonts w:hint="eastAsia" w:ascii="宋体" w:hAnsi="宋体" w:eastAsia="宋体" w:cs="宋体"/>
          <w:color w:val="auto"/>
          <w:sz w:val="22"/>
          <w:szCs w:val="22"/>
          <w:highlight w:val="none"/>
          <w:lang w:bidi="ar"/>
        </w:rPr>
        <w:t>（盖章）</w:t>
      </w:r>
    </w:p>
    <w:p w14:paraId="7E66ECAF">
      <w:pPr>
        <w:spacing w:after="120" w:line="360" w:lineRule="auto"/>
        <w:ind w:left="420" w:leftChars="200" w:firstLine="440" w:firstLineChars="200"/>
        <w:jc w:val="right"/>
        <w:rPr>
          <w:rFonts w:hint="eastAsia" w:ascii="宋体" w:hAnsi="宋体" w:eastAsia="宋体" w:cs="宋体"/>
          <w:snapToGrid w:val="0"/>
          <w:color w:val="auto"/>
          <w:sz w:val="22"/>
          <w:szCs w:val="22"/>
          <w:highlight w:val="none"/>
        </w:rPr>
      </w:pPr>
      <w:r>
        <w:rPr>
          <w:rFonts w:hint="eastAsia" w:ascii="宋体" w:hAnsi="宋体" w:eastAsia="宋体" w:cs="宋体"/>
          <w:color w:val="auto"/>
          <w:sz w:val="22"/>
          <w:szCs w:val="22"/>
          <w:highlight w:val="none"/>
          <w:u w:val="single"/>
          <w:lang w:bidi="ar"/>
        </w:rPr>
        <w:t xml:space="preserve">     </w:t>
      </w:r>
      <w:r>
        <w:rPr>
          <w:rFonts w:hint="eastAsia" w:ascii="宋体" w:hAnsi="宋体" w:eastAsia="宋体" w:cs="宋体"/>
          <w:snapToGrid w:val="0"/>
          <w:color w:val="auto"/>
          <w:sz w:val="22"/>
          <w:szCs w:val="22"/>
          <w:highlight w:val="none"/>
          <w:lang w:bidi="ar"/>
        </w:rPr>
        <w:t>年</w:t>
      </w:r>
      <w:r>
        <w:rPr>
          <w:rFonts w:hint="eastAsia" w:ascii="宋体" w:hAnsi="宋体" w:eastAsia="宋体" w:cs="宋体"/>
          <w:color w:val="auto"/>
          <w:sz w:val="22"/>
          <w:szCs w:val="22"/>
          <w:highlight w:val="none"/>
          <w:u w:val="single"/>
          <w:lang w:bidi="ar"/>
        </w:rPr>
        <w:t xml:space="preserve">     </w:t>
      </w:r>
      <w:r>
        <w:rPr>
          <w:rFonts w:hint="eastAsia" w:ascii="宋体" w:hAnsi="宋体" w:eastAsia="宋体" w:cs="宋体"/>
          <w:snapToGrid w:val="0"/>
          <w:color w:val="auto"/>
          <w:sz w:val="22"/>
          <w:szCs w:val="22"/>
          <w:highlight w:val="none"/>
          <w:lang w:bidi="ar"/>
        </w:rPr>
        <w:t>月</w:t>
      </w:r>
      <w:r>
        <w:rPr>
          <w:rFonts w:hint="eastAsia" w:ascii="宋体" w:hAnsi="宋体" w:eastAsia="宋体" w:cs="宋体"/>
          <w:color w:val="auto"/>
          <w:sz w:val="22"/>
          <w:szCs w:val="22"/>
          <w:highlight w:val="none"/>
          <w:u w:val="single"/>
          <w:lang w:bidi="ar"/>
        </w:rPr>
        <w:t xml:space="preserve">     </w:t>
      </w:r>
      <w:r>
        <w:rPr>
          <w:rFonts w:hint="eastAsia" w:ascii="宋体" w:hAnsi="宋体" w:eastAsia="宋体" w:cs="宋体"/>
          <w:snapToGrid w:val="0"/>
          <w:color w:val="auto"/>
          <w:sz w:val="22"/>
          <w:szCs w:val="22"/>
          <w:highlight w:val="none"/>
          <w:lang w:bidi="ar"/>
        </w:rPr>
        <w:t>日</w:t>
      </w:r>
    </w:p>
    <w:p w14:paraId="4404BD2A">
      <w:pPr>
        <w:adjustRightInd w:val="0"/>
        <w:snapToGrid w:val="0"/>
        <w:spacing w:line="360" w:lineRule="auto"/>
        <w:jc w:val="left"/>
        <w:rPr>
          <w:rFonts w:hint="eastAsia" w:ascii="宋体" w:hAnsi="宋体" w:eastAsia="宋体" w:cs="宋体"/>
          <w:bCs/>
          <w:snapToGrid w:val="0"/>
          <w:color w:val="auto"/>
          <w:kern w:val="0"/>
          <w:sz w:val="24"/>
          <w:szCs w:val="24"/>
          <w:highlight w:val="none"/>
        </w:rPr>
      </w:pPr>
      <w:r>
        <w:rPr>
          <w:rFonts w:hint="eastAsia" w:ascii="宋体" w:hAnsi="宋体" w:eastAsia="宋体" w:cs="宋体"/>
          <w:bCs/>
          <w:snapToGrid w:val="0"/>
          <w:color w:val="auto"/>
          <w:kern w:val="0"/>
          <w:sz w:val="24"/>
          <w:szCs w:val="24"/>
          <w:highlight w:val="none"/>
        </w:rPr>
        <w:t>示例：（供应商自行查询，示例图片可删除）</w:t>
      </w:r>
    </w:p>
    <w:p w14:paraId="55304EA5">
      <w:pPr>
        <w:adjustRightInd w:val="0"/>
        <w:snapToGrid w:val="0"/>
        <w:spacing w:line="360" w:lineRule="auto"/>
        <w:ind w:firstLine="480" w:firstLineChars="200"/>
        <w:jc w:val="left"/>
        <w:rPr>
          <w:rFonts w:hint="eastAsia" w:ascii="宋体" w:hAnsi="宋体" w:eastAsia="宋体" w:cs="宋体"/>
          <w:bCs/>
          <w:snapToGrid w:val="0"/>
          <w:color w:val="auto"/>
          <w:kern w:val="0"/>
          <w:sz w:val="24"/>
          <w:szCs w:val="24"/>
          <w:highlight w:val="none"/>
        </w:rPr>
      </w:pPr>
      <w:r>
        <w:rPr>
          <w:rFonts w:hint="eastAsia" w:ascii="宋体" w:hAnsi="宋体" w:eastAsia="宋体" w:cs="宋体"/>
          <w:bCs/>
          <w:snapToGrid w:val="0"/>
          <w:color w:val="auto"/>
          <w:kern w:val="0"/>
          <w:sz w:val="24"/>
          <w:szCs w:val="24"/>
          <w:highlight w:val="none"/>
        </w:rPr>
        <w:t>（1）在“国家企业信用信息公示系统”网站中被列入严重违法失信企业名单</w:t>
      </w:r>
      <w:r>
        <w:rPr>
          <w:rFonts w:hint="eastAsia" w:ascii="宋体" w:hAnsi="宋体" w:eastAsia="宋体" w:cs="宋体"/>
          <w:color w:val="auto"/>
          <w:sz w:val="24"/>
          <w:szCs w:val="24"/>
          <w:highlight w:val="none"/>
        </w:rPr>
        <w:t>（以投标人提供的网站查询结果截图为准）</w:t>
      </w:r>
      <w:r>
        <w:rPr>
          <w:rFonts w:hint="eastAsia" w:ascii="宋体" w:hAnsi="宋体" w:eastAsia="宋体" w:cs="宋体"/>
          <w:bCs/>
          <w:snapToGrid w:val="0"/>
          <w:color w:val="auto"/>
          <w:kern w:val="0"/>
          <w:sz w:val="24"/>
          <w:szCs w:val="24"/>
          <w:highlight w:val="none"/>
        </w:rPr>
        <w:t>；</w:t>
      </w:r>
    </w:p>
    <w:p w14:paraId="1CAD1512">
      <w:pPr>
        <w:adjustRightInd w:val="0"/>
        <w:snapToGrid w:val="0"/>
        <w:spacing w:line="360" w:lineRule="auto"/>
        <w:jc w:val="center"/>
        <w:rPr>
          <w:rFonts w:hint="eastAsia" w:ascii="宋体" w:hAnsi="宋体" w:eastAsia="宋体" w:cs="宋体"/>
          <w:bCs/>
          <w:snapToGrid w:val="0"/>
          <w:color w:val="auto"/>
          <w:kern w:val="0"/>
          <w:sz w:val="24"/>
          <w:szCs w:val="24"/>
          <w:highlight w:val="none"/>
        </w:rPr>
      </w:pPr>
      <w:r>
        <w:rPr>
          <w:rFonts w:hint="eastAsia" w:ascii="宋体" w:hAnsi="宋体" w:eastAsia="宋体" w:cs="宋体"/>
          <w:color w:val="auto"/>
          <w:sz w:val="28"/>
          <w:highlight w:val="none"/>
        </w:rPr>
        <w:drawing>
          <wp:inline distT="0" distB="0" distL="114300" distR="114300">
            <wp:extent cx="4792345" cy="2731135"/>
            <wp:effectExtent l="0" t="0" r="8255" b="1206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4792345" cy="2731135"/>
                    </a:xfrm>
                    <a:prstGeom prst="rect">
                      <a:avLst/>
                    </a:prstGeom>
                    <a:noFill/>
                    <a:ln>
                      <a:noFill/>
                    </a:ln>
                  </pic:spPr>
                </pic:pic>
              </a:graphicData>
            </a:graphic>
          </wp:inline>
        </w:drawing>
      </w:r>
    </w:p>
    <w:p w14:paraId="374B398D">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bCs/>
          <w:snapToGrid w:val="0"/>
          <w:color w:val="auto"/>
          <w:kern w:val="0"/>
          <w:sz w:val="24"/>
          <w:szCs w:val="24"/>
          <w:highlight w:val="none"/>
        </w:rPr>
        <w:t>（2）</w:t>
      </w:r>
      <w:r>
        <w:rPr>
          <w:rFonts w:hint="eastAsia" w:ascii="宋体" w:hAnsi="宋体" w:eastAsia="宋体" w:cs="宋体"/>
          <w:color w:val="auto"/>
          <w:sz w:val="24"/>
          <w:szCs w:val="24"/>
          <w:highlight w:val="none"/>
        </w:rPr>
        <w:t>在“信用中国”（http://www.creditchina.gov.cn/）/“中国执行信息公开网”（http://zxgk.court.gov.cn/shixin/）中被列入失信被执行人名单（以投标人提供的网站查询结果截图为准）；</w:t>
      </w:r>
    </w:p>
    <w:p w14:paraId="6AF940D8">
      <w:pPr>
        <w:adjustRightInd w:val="0"/>
        <w:snapToGrid w:val="0"/>
        <w:spacing w:line="360" w:lineRule="auto"/>
        <w:jc w:val="center"/>
        <w:rPr>
          <w:rFonts w:hint="eastAsia" w:ascii="宋体" w:hAnsi="宋体" w:eastAsia="宋体" w:cs="宋体"/>
          <w:bCs/>
          <w:snapToGrid w:val="0"/>
          <w:color w:val="auto"/>
          <w:kern w:val="0"/>
          <w:sz w:val="24"/>
          <w:szCs w:val="24"/>
          <w:highlight w:val="none"/>
        </w:rPr>
      </w:pPr>
      <w:r>
        <w:rPr>
          <w:rFonts w:hint="eastAsia" w:ascii="宋体" w:hAnsi="宋体" w:eastAsia="宋体" w:cs="宋体"/>
          <w:color w:val="auto"/>
          <w:szCs w:val="24"/>
          <w:highlight w:val="none"/>
        </w:rPr>
        <w:drawing>
          <wp:inline distT="0" distB="0" distL="114300" distR="114300">
            <wp:extent cx="4813300" cy="3042920"/>
            <wp:effectExtent l="0" t="0" r="0" b="508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6"/>
                    <a:stretch>
                      <a:fillRect/>
                    </a:stretch>
                  </pic:blipFill>
                  <pic:spPr>
                    <a:xfrm>
                      <a:off x="0" y="0"/>
                      <a:ext cx="4813300" cy="3042920"/>
                    </a:xfrm>
                    <a:prstGeom prst="rect">
                      <a:avLst/>
                    </a:prstGeom>
                    <a:noFill/>
                    <a:ln>
                      <a:noFill/>
                    </a:ln>
                  </pic:spPr>
                </pic:pic>
              </a:graphicData>
            </a:graphic>
          </wp:inline>
        </w:drawing>
      </w:r>
    </w:p>
    <w:p w14:paraId="4DFC70A5">
      <w:pPr>
        <w:adjustRightInd w:val="0"/>
        <w:snapToGrid w:val="0"/>
        <w:spacing w:line="360" w:lineRule="auto"/>
        <w:jc w:val="left"/>
        <w:rPr>
          <w:rFonts w:hint="eastAsia" w:ascii="宋体" w:hAnsi="宋体" w:eastAsia="宋体" w:cs="宋体"/>
          <w:color w:val="auto"/>
          <w:sz w:val="24"/>
          <w:szCs w:val="24"/>
          <w:highlight w:val="none"/>
        </w:rPr>
      </w:pPr>
      <w:r>
        <w:rPr>
          <w:rFonts w:hint="eastAsia" w:ascii="宋体" w:hAnsi="宋体" w:eastAsia="宋体" w:cs="宋体"/>
          <w:bCs/>
          <w:snapToGrid w:val="0"/>
          <w:color w:val="auto"/>
          <w:kern w:val="0"/>
          <w:sz w:val="24"/>
          <w:szCs w:val="24"/>
          <w:highlight w:val="none"/>
        </w:rPr>
        <w:t>（3）在“信用中国”网站中被列入重大税收违法失信主体</w:t>
      </w:r>
      <w:r>
        <w:rPr>
          <w:rFonts w:hint="eastAsia" w:ascii="宋体" w:hAnsi="宋体" w:eastAsia="宋体" w:cs="宋体"/>
          <w:color w:val="auto"/>
          <w:sz w:val="24"/>
          <w:szCs w:val="24"/>
          <w:highlight w:val="none"/>
        </w:rPr>
        <w:t>（以投标人提供的网站查询结果截图为准）。</w:t>
      </w:r>
    </w:p>
    <w:p w14:paraId="67FD4DE6">
      <w:pPr>
        <w:adjustRightInd w:val="0"/>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highlight w:val="none"/>
        </w:rPr>
        <w:drawing>
          <wp:inline distT="0" distB="0" distL="114300" distR="114300">
            <wp:extent cx="4896485" cy="2727960"/>
            <wp:effectExtent l="0" t="0" r="5715" b="254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7"/>
                    <a:stretch>
                      <a:fillRect/>
                    </a:stretch>
                  </pic:blipFill>
                  <pic:spPr>
                    <a:xfrm>
                      <a:off x="0" y="0"/>
                      <a:ext cx="4896485" cy="2727960"/>
                    </a:xfrm>
                    <a:prstGeom prst="rect">
                      <a:avLst/>
                    </a:prstGeom>
                    <a:noFill/>
                    <a:ln>
                      <a:noFill/>
                    </a:ln>
                  </pic:spPr>
                </pic:pic>
              </a:graphicData>
            </a:graphic>
          </wp:inline>
        </w:drawing>
      </w:r>
    </w:p>
    <w:p w14:paraId="38323981">
      <w:pPr>
        <w:rPr>
          <w:rFonts w:hint="eastAsia" w:ascii="宋体" w:hAnsi="宋体" w:eastAsia="宋体" w:cs="宋体"/>
          <w:b/>
          <w:bCs/>
          <w:snapToGrid w:val="0"/>
          <w:color w:val="auto"/>
          <w:kern w:val="0"/>
          <w:sz w:val="24"/>
          <w:highlight w:val="none"/>
          <w:lang w:bidi="en-US"/>
        </w:rPr>
      </w:pPr>
      <w:r>
        <w:rPr>
          <w:rFonts w:hint="eastAsia" w:ascii="宋体" w:hAnsi="宋体" w:eastAsia="宋体" w:cs="宋体"/>
          <w:b/>
          <w:bCs/>
          <w:snapToGrid w:val="0"/>
          <w:color w:val="auto"/>
          <w:kern w:val="0"/>
          <w:sz w:val="24"/>
          <w:highlight w:val="none"/>
          <w:lang w:bidi="en-US"/>
        </w:rPr>
        <w:br w:type="page"/>
      </w:r>
      <w:r>
        <w:rPr>
          <w:rFonts w:hint="eastAsia" w:ascii="宋体" w:hAnsi="宋体" w:eastAsia="宋体" w:cs="宋体"/>
          <w:b/>
          <w:bCs/>
          <w:snapToGrid w:val="0"/>
          <w:color w:val="auto"/>
          <w:kern w:val="0"/>
          <w:sz w:val="24"/>
          <w:highlight w:val="none"/>
          <w:lang w:bidi="en-US"/>
        </w:rPr>
        <w:t>附件</w:t>
      </w:r>
      <w:r>
        <w:rPr>
          <w:rFonts w:hint="eastAsia" w:ascii="宋体" w:hAnsi="宋体" w:eastAsia="宋体" w:cs="宋体"/>
          <w:b/>
          <w:bCs/>
          <w:snapToGrid w:val="0"/>
          <w:color w:val="auto"/>
          <w:kern w:val="0"/>
          <w:sz w:val="24"/>
          <w:highlight w:val="none"/>
          <w:lang w:val="en-US" w:eastAsia="zh-CN" w:bidi="en-US"/>
        </w:rPr>
        <w:t>7</w:t>
      </w:r>
      <w:r>
        <w:rPr>
          <w:rFonts w:hint="eastAsia" w:ascii="宋体" w:hAnsi="宋体" w:eastAsia="宋体" w:cs="宋体"/>
          <w:b/>
          <w:bCs/>
          <w:snapToGrid w:val="0"/>
          <w:color w:val="auto"/>
          <w:kern w:val="0"/>
          <w:sz w:val="24"/>
          <w:highlight w:val="none"/>
          <w:lang w:bidi="en-US"/>
        </w:rPr>
        <w:t>：</w:t>
      </w:r>
    </w:p>
    <w:p w14:paraId="096047F0">
      <w:pPr>
        <w:spacing w:line="360" w:lineRule="auto"/>
        <w:jc w:val="center"/>
        <w:rPr>
          <w:rFonts w:hint="eastAsia" w:ascii="宋体" w:hAnsi="宋体" w:eastAsia="宋体" w:cs="宋体"/>
          <w:b/>
          <w:color w:val="auto"/>
          <w:sz w:val="28"/>
          <w:szCs w:val="24"/>
          <w:highlight w:val="none"/>
        </w:rPr>
      </w:pPr>
      <w:r>
        <w:rPr>
          <w:rFonts w:hint="eastAsia" w:ascii="宋体" w:hAnsi="宋体" w:eastAsia="宋体" w:cs="宋体"/>
          <w:b/>
          <w:color w:val="auto"/>
          <w:sz w:val="28"/>
          <w:szCs w:val="24"/>
          <w:highlight w:val="none"/>
        </w:rPr>
        <w:t>无重大违法记录声明函、无不良信用记录、与中粮集团合作无不良影响行为的声明函</w:t>
      </w:r>
    </w:p>
    <w:p w14:paraId="402FBD84">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本公司郑重声明，我公司无以下不良信用记录情形：</w:t>
      </w:r>
    </w:p>
    <w:p w14:paraId="3BA2BA3B">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（1）处于被责令停产停业、暂扣或者吊销执照、暂扣或者吊销许可证、吊销资质证书状态；</w:t>
      </w:r>
    </w:p>
    <w:p w14:paraId="0D8C4DB7">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（2）进入清算程序，或被宣告破产，或其他丧失履约能力的情形；</w:t>
      </w:r>
    </w:p>
    <w:p w14:paraId="04BA41FF">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（3）被中粮集团、中粮各专业化公司列入黑名单或惩戒名单；</w:t>
      </w:r>
    </w:p>
    <w:p w14:paraId="11478C68">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（4）公司董事、监事、高管人员与中粮人员有亲属关系、合作关系；</w:t>
      </w:r>
    </w:p>
    <w:p w14:paraId="0DA43B3B">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（5）公司董事、监事、高管人员没有吸毒、赌博等不良嗜好，法定代表人存在失信行为或负面舆论事件；</w:t>
      </w:r>
    </w:p>
    <w:p w14:paraId="1EF7CE3E">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（6）向中粮相关人员及亲属提供贵重礼品、回扣、礼金或有价证券、佣金等任何形式的商业贿赂行为；</w:t>
      </w:r>
    </w:p>
    <w:p w14:paraId="5C84FC20">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（7）法定代表人为同一个的两个及两个以上法人，母公司、全资子公司及其控股公司，参加此项目同一标的、线路的谈判；</w:t>
      </w:r>
    </w:p>
    <w:p w14:paraId="0243C350">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（8）与其他供应商在此项目同一采购包、运输线路上串通、骗取成交的行为；</w:t>
      </w:r>
    </w:p>
    <w:p w14:paraId="09B8C25B">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我公司承诺：合同签订前，若我公司具有以上不良信用记录情形，贵方可取消我公司成交资格或者不授予合同，所有责任由我公司自行承担。同时，我公司愿意无条件接受相关管理部门的调查处理。</w:t>
      </w:r>
    </w:p>
    <w:p w14:paraId="645BD9AC">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本公司对上述声明的真实性负责，如有虚假，将依法承担相应责任。</w:t>
      </w:r>
    </w:p>
    <w:p w14:paraId="24FB4801">
      <w:pPr>
        <w:autoSpaceDE w:val="0"/>
        <w:autoSpaceDN w:val="0"/>
        <w:snapToGrid w:val="0"/>
        <w:spacing w:line="360" w:lineRule="auto"/>
        <w:ind w:firstLine="660"/>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供应商：</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snapToGrid w:val="0"/>
          <w:color w:val="auto"/>
          <w:sz w:val="24"/>
          <w:szCs w:val="24"/>
          <w:highlight w:val="none"/>
          <w:u w:val="single"/>
        </w:rPr>
        <w:t>（盖章）</w:t>
      </w:r>
    </w:p>
    <w:p w14:paraId="31734A7E">
      <w:pPr>
        <w:keepNext w:val="0"/>
        <w:keepLines w:val="0"/>
        <w:pageBreakBefore w:val="0"/>
        <w:widowControl w:val="0"/>
        <w:kinsoku/>
        <w:wordWrap/>
        <w:overflowPunct/>
        <w:topLinePunct w:val="0"/>
        <w:autoSpaceDE/>
        <w:autoSpaceDN/>
        <w:bidi w:val="0"/>
        <w:adjustRightInd/>
        <w:snapToGrid/>
        <w:spacing w:line="360" w:lineRule="auto"/>
        <w:ind w:firstLine="2880" w:firstLineChars="1200"/>
        <w:jc w:val="center"/>
        <w:textAlignment w:val="auto"/>
        <w:rPr>
          <w:rFonts w:hint="eastAsia" w:ascii="宋体" w:hAnsi="宋体" w:eastAsia="宋体" w:cs="宋体"/>
          <w:b w:val="0"/>
          <w:bCs w:val="0"/>
          <w:snapToGrid w:val="0"/>
          <w:color w:val="auto"/>
          <w:kern w:val="0"/>
          <w:sz w:val="24"/>
          <w:highlight w:val="none"/>
          <w:lang w:val="en-US" w:eastAsia="zh-CN" w:bidi="en-US"/>
        </w:rPr>
      </w:pP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none"/>
          <w:lang w:val="en-US" w:eastAsia="zh-CN"/>
        </w:rPr>
        <w:t>日</w:t>
      </w:r>
    </w:p>
    <w:p w14:paraId="1D6139DD">
      <w:pPr>
        <w:rPr>
          <w:rFonts w:hint="eastAsia" w:ascii="宋体" w:hAnsi="宋体" w:eastAsia="宋体" w:cs="宋体"/>
          <w:color w:val="auto"/>
          <w:highlight w:val="none"/>
        </w:rPr>
      </w:pPr>
    </w:p>
    <w:p w14:paraId="07F61C23">
      <w:pPr>
        <w:widowControl/>
        <w:jc w:val="left"/>
        <w:rPr>
          <w:rFonts w:hint="eastAsia" w:ascii="宋体" w:hAnsi="宋体" w:eastAsia="宋体" w:cs="宋体"/>
          <w:snapToGrid w:val="0"/>
          <w:color w:val="auto"/>
          <w:kern w:val="0"/>
          <w:sz w:val="24"/>
          <w:highlight w:val="none"/>
          <w:lang w:eastAsia="zh-CN" w:bidi="en-US"/>
        </w:rPr>
      </w:pPr>
      <w:bookmarkStart w:id="48" w:name="_Toc31744"/>
      <w:r>
        <w:rPr>
          <w:rFonts w:hint="eastAsia" w:ascii="宋体" w:hAnsi="宋体" w:eastAsia="宋体" w:cs="宋体"/>
          <w:b/>
          <w:bCs/>
          <w:color w:val="auto"/>
          <w:szCs w:val="21"/>
          <w:highlight w:val="none"/>
          <w:lang w:bidi="ar"/>
        </w:rPr>
        <w:br w:type="page"/>
      </w:r>
      <w:r>
        <w:rPr>
          <w:rFonts w:hint="eastAsia" w:ascii="宋体" w:hAnsi="宋体" w:eastAsia="宋体" w:cs="宋体"/>
          <w:b/>
          <w:bCs/>
          <w:snapToGrid w:val="0"/>
          <w:color w:val="auto"/>
          <w:kern w:val="0"/>
          <w:sz w:val="24"/>
          <w:highlight w:val="none"/>
          <w:lang w:bidi="en-US"/>
        </w:rPr>
        <w:t>附件</w:t>
      </w:r>
      <w:r>
        <w:rPr>
          <w:rFonts w:hint="eastAsia" w:ascii="宋体" w:hAnsi="宋体" w:eastAsia="宋体" w:cs="宋体"/>
          <w:b/>
          <w:bCs/>
          <w:snapToGrid w:val="0"/>
          <w:color w:val="auto"/>
          <w:kern w:val="0"/>
          <w:sz w:val="24"/>
          <w:highlight w:val="none"/>
          <w:lang w:val="en-US" w:eastAsia="zh-CN" w:bidi="en-US"/>
        </w:rPr>
        <w:t>8：</w:t>
      </w:r>
    </w:p>
    <w:p w14:paraId="221CD723">
      <w:pPr>
        <w:snapToGrid w:val="0"/>
        <w:spacing w:line="360" w:lineRule="auto"/>
        <w:jc w:val="center"/>
        <w:rPr>
          <w:rFonts w:hint="eastAsia" w:ascii="宋体" w:hAnsi="宋体" w:eastAsia="宋体" w:cs="宋体"/>
          <w:b/>
          <w:snapToGrid w:val="0"/>
          <w:color w:val="auto"/>
          <w:sz w:val="28"/>
          <w:szCs w:val="20"/>
          <w:highlight w:val="none"/>
          <w:lang w:val="en-US" w:eastAsia="zh-CN" w:bidi="en-US"/>
        </w:rPr>
      </w:pPr>
      <w:r>
        <w:rPr>
          <w:rFonts w:hint="eastAsia" w:ascii="宋体" w:hAnsi="宋体" w:eastAsia="宋体" w:cs="宋体"/>
          <w:b/>
          <w:snapToGrid w:val="0"/>
          <w:color w:val="auto"/>
          <w:sz w:val="28"/>
          <w:szCs w:val="20"/>
          <w:highlight w:val="none"/>
          <w:lang w:val="en-US" w:eastAsia="zh-CN" w:bidi="en-US"/>
        </w:rPr>
        <w:t>中粮家佳康关于货物运输管理中生物安全防控的通知</w:t>
      </w:r>
    </w:p>
    <w:p w14:paraId="2B998290">
      <w:pPr>
        <w:widowControl/>
        <w:kinsoku w:val="0"/>
        <w:autoSpaceDE w:val="0"/>
        <w:autoSpaceDN w:val="0"/>
        <w:adjustRightInd w:val="0"/>
        <w:snapToGrid w:val="0"/>
        <w:spacing w:line="360" w:lineRule="auto"/>
        <w:ind w:firstLine="440" w:firstLineChars="200"/>
        <w:jc w:val="both"/>
        <w:textAlignment w:val="baseline"/>
        <w:rPr>
          <w:rFonts w:hint="eastAsia" w:ascii="宋体" w:hAnsi="宋体" w:eastAsia="宋体" w:cs="宋体"/>
          <w:snapToGrid w:val="0"/>
          <w:kern w:val="0"/>
          <w:sz w:val="22"/>
          <w:szCs w:val="28"/>
          <w:highlight w:val="none"/>
        </w:rPr>
      </w:pPr>
      <w:r>
        <w:rPr>
          <w:rFonts w:hint="eastAsia" w:ascii="宋体" w:hAnsi="宋体" w:eastAsia="宋体" w:cs="宋体"/>
          <w:snapToGrid w:val="0"/>
          <w:kern w:val="0"/>
          <w:sz w:val="22"/>
          <w:szCs w:val="28"/>
          <w:highlight w:val="none"/>
          <w:lang w:val="en-US" w:eastAsia="zh-CN"/>
        </w:rPr>
        <w:t>为加强生物安全管控，切断病源通过车辆及运输环节等污染货物的途径，保证运输途中货物的安全，确保货物无疫情传播隐患，我司要求供中粮家佳康货物的供应商和物流商认可并支持中粮防非要求，遵循以下条款：</w:t>
      </w:r>
    </w:p>
    <w:p w14:paraId="4303B93D">
      <w:pPr>
        <w:keepNext w:val="0"/>
        <w:keepLines w:val="0"/>
        <w:pageBreakBefore w:val="0"/>
        <w:widowControl/>
        <w:kinsoku w:val="0"/>
        <w:wordWrap/>
        <w:overflowPunct/>
        <w:topLinePunct w:val="0"/>
        <w:autoSpaceDE w:val="0"/>
        <w:autoSpaceDN w:val="0"/>
        <w:bidi w:val="0"/>
        <w:adjustRightInd w:val="0"/>
        <w:snapToGrid w:val="0"/>
        <w:spacing w:line="360" w:lineRule="auto"/>
        <w:ind w:firstLine="440" w:firstLineChars="200"/>
        <w:jc w:val="both"/>
        <w:textAlignment w:val="baseline"/>
        <w:rPr>
          <w:rFonts w:hint="eastAsia" w:ascii="宋体" w:hAnsi="宋体" w:eastAsia="宋体" w:cs="宋体"/>
          <w:snapToGrid w:val="0"/>
          <w:kern w:val="0"/>
          <w:sz w:val="22"/>
          <w:szCs w:val="28"/>
          <w:highlight w:val="none"/>
        </w:rPr>
      </w:pPr>
      <w:r>
        <w:rPr>
          <w:rFonts w:hint="eastAsia" w:ascii="宋体" w:hAnsi="宋体" w:eastAsia="宋体" w:cs="宋体"/>
          <w:snapToGrid w:val="0"/>
          <w:kern w:val="0"/>
          <w:sz w:val="22"/>
          <w:szCs w:val="28"/>
          <w:highlight w:val="none"/>
          <w:lang w:val="en-US" w:eastAsia="zh-CN"/>
        </w:rPr>
        <w:t>一、供应商应明晰中粮家佳康对运输车辆的要求，选择符合要求的运输车辆，并对运输司机进行“本通知”所要求条款的培训及行为约束。</w:t>
      </w:r>
    </w:p>
    <w:p w14:paraId="4116F7C7">
      <w:pPr>
        <w:keepNext w:val="0"/>
        <w:keepLines w:val="0"/>
        <w:pageBreakBefore w:val="0"/>
        <w:widowControl/>
        <w:kinsoku w:val="0"/>
        <w:wordWrap/>
        <w:overflowPunct/>
        <w:topLinePunct w:val="0"/>
        <w:autoSpaceDE w:val="0"/>
        <w:autoSpaceDN w:val="0"/>
        <w:bidi w:val="0"/>
        <w:adjustRightInd w:val="0"/>
        <w:snapToGrid w:val="0"/>
        <w:spacing w:line="360" w:lineRule="auto"/>
        <w:ind w:firstLine="440" w:firstLineChars="200"/>
        <w:jc w:val="both"/>
        <w:textAlignment w:val="baseline"/>
        <w:rPr>
          <w:rFonts w:hint="eastAsia" w:ascii="宋体" w:hAnsi="宋体" w:eastAsia="宋体" w:cs="宋体"/>
          <w:snapToGrid w:val="0"/>
          <w:kern w:val="0"/>
          <w:sz w:val="22"/>
          <w:szCs w:val="28"/>
          <w:highlight w:val="none"/>
        </w:rPr>
      </w:pPr>
      <w:r>
        <w:rPr>
          <w:rFonts w:hint="eastAsia" w:ascii="宋体" w:hAnsi="宋体" w:eastAsia="宋体" w:cs="宋体"/>
          <w:snapToGrid w:val="0"/>
          <w:kern w:val="0"/>
          <w:sz w:val="22"/>
          <w:szCs w:val="28"/>
          <w:highlight w:val="none"/>
          <w:lang w:val="en-US" w:eastAsia="zh-CN"/>
        </w:rPr>
        <w:t>二、供应商应承诺所有合作的运输车辆 45 天内未运输过牲畜、家禽、肉蛋奶制品类货物，禁止使用运猪车装送原料，一经发现，中粮家佳康不予取样，直接按货物不合格退货处理。</w:t>
      </w:r>
    </w:p>
    <w:p w14:paraId="0A0CBC43">
      <w:pPr>
        <w:keepNext w:val="0"/>
        <w:keepLines w:val="0"/>
        <w:pageBreakBefore w:val="0"/>
        <w:widowControl/>
        <w:kinsoku w:val="0"/>
        <w:wordWrap/>
        <w:overflowPunct/>
        <w:topLinePunct w:val="0"/>
        <w:autoSpaceDE w:val="0"/>
        <w:autoSpaceDN w:val="0"/>
        <w:bidi w:val="0"/>
        <w:adjustRightInd w:val="0"/>
        <w:snapToGrid w:val="0"/>
        <w:spacing w:line="360" w:lineRule="auto"/>
        <w:ind w:firstLine="440" w:firstLineChars="200"/>
        <w:jc w:val="both"/>
        <w:textAlignment w:val="baseline"/>
        <w:rPr>
          <w:rFonts w:hint="eastAsia" w:ascii="宋体" w:hAnsi="宋体" w:eastAsia="宋体" w:cs="宋体"/>
          <w:snapToGrid w:val="0"/>
          <w:kern w:val="0"/>
          <w:sz w:val="22"/>
          <w:szCs w:val="28"/>
          <w:highlight w:val="none"/>
        </w:rPr>
      </w:pPr>
      <w:r>
        <w:rPr>
          <w:rFonts w:hint="eastAsia" w:ascii="宋体" w:hAnsi="宋体" w:eastAsia="宋体" w:cs="宋体"/>
          <w:snapToGrid w:val="0"/>
          <w:kern w:val="0"/>
          <w:sz w:val="22"/>
          <w:szCs w:val="28"/>
          <w:highlight w:val="none"/>
          <w:lang w:val="en-US" w:eastAsia="zh-CN"/>
        </w:rPr>
        <w:t xml:space="preserve">三、运输车辆及司乘人员禁止携带一切与肉相关的产品（包括但不限于鲜肉、腊肉、熏肉、腌制肉、火腿肠、猪肉馅饺子/包子等）及其包装物，不得携带已拆封的方便面。 </w:t>
      </w:r>
    </w:p>
    <w:p w14:paraId="438F2D07">
      <w:pPr>
        <w:keepNext w:val="0"/>
        <w:keepLines w:val="0"/>
        <w:pageBreakBefore w:val="0"/>
        <w:widowControl/>
        <w:kinsoku w:val="0"/>
        <w:wordWrap/>
        <w:overflowPunct/>
        <w:topLinePunct w:val="0"/>
        <w:autoSpaceDE w:val="0"/>
        <w:autoSpaceDN w:val="0"/>
        <w:bidi w:val="0"/>
        <w:adjustRightInd w:val="0"/>
        <w:snapToGrid w:val="0"/>
        <w:spacing w:line="360" w:lineRule="auto"/>
        <w:ind w:firstLine="440" w:firstLineChars="200"/>
        <w:jc w:val="both"/>
        <w:textAlignment w:val="baseline"/>
        <w:rPr>
          <w:rFonts w:hint="eastAsia" w:ascii="宋体" w:hAnsi="宋体" w:eastAsia="宋体" w:cs="宋体"/>
          <w:snapToGrid w:val="0"/>
          <w:kern w:val="0"/>
          <w:sz w:val="22"/>
          <w:szCs w:val="28"/>
          <w:highlight w:val="none"/>
        </w:rPr>
      </w:pPr>
      <w:r>
        <w:rPr>
          <w:rFonts w:hint="eastAsia" w:ascii="宋体" w:hAnsi="宋体" w:eastAsia="宋体" w:cs="宋体"/>
          <w:snapToGrid w:val="0"/>
          <w:kern w:val="0"/>
          <w:sz w:val="22"/>
          <w:szCs w:val="28"/>
          <w:highlight w:val="none"/>
          <w:lang w:val="en-US" w:eastAsia="zh-CN"/>
        </w:rPr>
        <w:t>四、运输前应要求司机合理规划运输路线，司机运输货物途中避免接触或接近牛群、羊群、以及屠宰场等有风险的污染源。</w:t>
      </w:r>
    </w:p>
    <w:p w14:paraId="53234630">
      <w:pPr>
        <w:keepNext w:val="0"/>
        <w:keepLines w:val="0"/>
        <w:pageBreakBefore w:val="0"/>
        <w:widowControl/>
        <w:kinsoku w:val="0"/>
        <w:wordWrap/>
        <w:overflowPunct/>
        <w:topLinePunct w:val="0"/>
        <w:autoSpaceDE w:val="0"/>
        <w:autoSpaceDN w:val="0"/>
        <w:bidi w:val="0"/>
        <w:adjustRightInd w:val="0"/>
        <w:snapToGrid w:val="0"/>
        <w:spacing w:line="360" w:lineRule="auto"/>
        <w:ind w:firstLine="440" w:firstLineChars="200"/>
        <w:jc w:val="both"/>
        <w:textAlignment w:val="baseline"/>
        <w:rPr>
          <w:rFonts w:hint="eastAsia" w:ascii="宋体" w:hAnsi="宋体" w:eastAsia="宋体" w:cs="宋体"/>
          <w:snapToGrid w:val="0"/>
          <w:kern w:val="0"/>
          <w:sz w:val="22"/>
          <w:szCs w:val="28"/>
          <w:highlight w:val="none"/>
        </w:rPr>
      </w:pPr>
      <w:r>
        <w:rPr>
          <w:rFonts w:hint="eastAsia" w:ascii="宋体" w:hAnsi="宋体" w:eastAsia="宋体" w:cs="宋体"/>
          <w:snapToGrid w:val="0"/>
          <w:kern w:val="0"/>
          <w:sz w:val="22"/>
          <w:szCs w:val="28"/>
          <w:highlight w:val="none"/>
          <w:lang w:val="en-US" w:eastAsia="zh-CN"/>
        </w:rPr>
        <w:t>五、严禁将从其他公司退货或者去过养殖场的货物送到中粮家佳康，一经发现立即终止合作。</w:t>
      </w:r>
    </w:p>
    <w:p w14:paraId="787EB4F4">
      <w:pPr>
        <w:keepNext w:val="0"/>
        <w:keepLines w:val="0"/>
        <w:pageBreakBefore w:val="0"/>
        <w:widowControl/>
        <w:kinsoku w:val="0"/>
        <w:wordWrap/>
        <w:overflowPunct/>
        <w:topLinePunct w:val="0"/>
        <w:autoSpaceDE w:val="0"/>
        <w:autoSpaceDN w:val="0"/>
        <w:bidi w:val="0"/>
        <w:adjustRightInd w:val="0"/>
        <w:snapToGrid w:val="0"/>
        <w:spacing w:line="360" w:lineRule="auto"/>
        <w:ind w:firstLine="440" w:firstLineChars="200"/>
        <w:jc w:val="both"/>
        <w:textAlignment w:val="baseline"/>
        <w:rPr>
          <w:rFonts w:hint="eastAsia" w:ascii="宋体" w:hAnsi="宋体" w:eastAsia="宋体" w:cs="宋体"/>
          <w:snapToGrid w:val="0"/>
          <w:kern w:val="0"/>
          <w:sz w:val="22"/>
          <w:szCs w:val="28"/>
          <w:highlight w:val="none"/>
        </w:rPr>
      </w:pPr>
      <w:r>
        <w:rPr>
          <w:rFonts w:hint="eastAsia" w:ascii="宋体" w:hAnsi="宋体" w:eastAsia="宋体" w:cs="宋体"/>
          <w:snapToGrid w:val="0"/>
          <w:kern w:val="0"/>
          <w:sz w:val="22"/>
          <w:szCs w:val="28"/>
          <w:highlight w:val="none"/>
          <w:lang w:val="en-US" w:eastAsia="zh-CN"/>
        </w:rPr>
        <w:t xml:space="preserve">六、运输车辆装货前，供应商应对车辆清洁消毒后装货，不可有眼观的杂物、污物。 </w:t>
      </w:r>
    </w:p>
    <w:p w14:paraId="73DE5A75">
      <w:pPr>
        <w:keepNext w:val="0"/>
        <w:keepLines w:val="0"/>
        <w:pageBreakBefore w:val="0"/>
        <w:widowControl/>
        <w:kinsoku w:val="0"/>
        <w:wordWrap/>
        <w:overflowPunct/>
        <w:topLinePunct w:val="0"/>
        <w:autoSpaceDE w:val="0"/>
        <w:autoSpaceDN w:val="0"/>
        <w:bidi w:val="0"/>
        <w:adjustRightInd w:val="0"/>
        <w:snapToGrid w:val="0"/>
        <w:spacing w:line="360" w:lineRule="auto"/>
        <w:ind w:firstLine="440" w:firstLineChars="200"/>
        <w:jc w:val="both"/>
        <w:textAlignment w:val="baseline"/>
        <w:rPr>
          <w:rFonts w:hint="eastAsia" w:ascii="宋体" w:hAnsi="宋体" w:eastAsia="宋体" w:cs="宋体"/>
          <w:snapToGrid w:val="0"/>
          <w:kern w:val="0"/>
          <w:sz w:val="22"/>
          <w:szCs w:val="28"/>
          <w:highlight w:val="none"/>
        </w:rPr>
      </w:pPr>
      <w:r>
        <w:rPr>
          <w:rFonts w:hint="eastAsia" w:ascii="宋体" w:hAnsi="宋体" w:eastAsia="宋体" w:cs="宋体"/>
          <w:snapToGrid w:val="0"/>
          <w:kern w:val="0"/>
          <w:sz w:val="22"/>
          <w:szCs w:val="28"/>
          <w:highlight w:val="none"/>
          <w:lang w:val="en-US" w:eastAsia="zh-CN"/>
        </w:rPr>
        <w:t>七、供应商和物流商应遵循以下中粮家佳康进厂条件：</w:t>
      </w:r>
    </w:p>
    <w:p w14:paraId="33D0EEA1">
      <w:pPr>
        <w:keepNext w:val="0"/>
        <w:keepLines w:val="0"/>
        <w:pageBreakBefore w:val="0"/>
        <w:widowControl/>
        <w:kinsoku w:val="0"/>
        <w:wordWrap/>
        <w:overflowPunct/>
        <w:topLinePunct w:val="0"/>
        <w:autoSpaceDE w:val="0"/>
        <w:autoSpaceDN w:val="0"/>
        <w:bidi w:val="0"/>
        <w:adjustRightInd w:val="0"/>
        <w:snapToGrid w:val="0"/>
        <w:spacing w:line="360" w:lineRule="auto"/>
        <w:ind w:firstLine="440" w:firstLineChars="200"/>
        <w:jc w:val="both"/>
        <w:textAlignment w:val="baseline"/>
        <w:rPr>
          <w:rFonts w:hint="eastAsia" w:ascii="宋体" w:hAnsi="宋体" w:eastAsia="宋体" w:cs="宋体"/>
          <w:snapToGrid w:val="0"/>
          <w:kern w:val="0"/>
          <w:sz w:val="22"/>
          <w:szCs w:val="28"/>
          <w:highlight w:val="none"/>
        </w:rPr>
      </w:pPr>
      <w:r>
        <w:rPr>
          <w:rFonts w:hint="eastAsia" w:ascii="宋体" w:hAnsi="宋体" w:eastAsia="宋体" w:cs="宋体"/>
          <w:snapToGrid w:val="0"/>
          <w:kern w:val="0"/>
          <w:sz w:val="22"/>
          <w:szCs w:val="28"/>
          <w:highlight w:val="none"/>
          <w:lang w:val="en-US" w:eastAsia="zh-CN"/>
        </w:rPr>
        <w:t xml:space="preserve">1、司机配合中粮家佳康工作人员完成入厂洗消、货物的取样和查验工作。 </w:t>
      </w:r>
    </w:p>
    <w:p w14:paraId="36238280">
      <w:pPr>
        <w:keepNext w:val="0"/>
        <w:keepLines w:val="0"/>
        <w:pageBreakBefore w:val="0"/>
        <w:widowControl/>
        <w:kinsoku w:val="0"/>
        <w:wordWrap/>
        <w:overflowPunct/>
        <w:topLinePunct w:val="0"/>
        <w:autoSpaceDE w:val="0"/>
        <w:autoSpaceDN w:val="0"/>
        <w:bidi w:val="0"/>
        <w:adjustRightInd w:val="0"/>
        <w:snapToGrid w:val="0"/>
        <w:spacing w:line="360" w:lineRule="auto"/>
        <w:ind w:firstLine="440" w:firstLineChars="200"/>
        <w:jc w:val="both"/>
        <w:textAlignment w:val="baseline"/>
        <w:rPr>
          <w:rFonts w:hint="eastAsia" w:ascii="宋体" w:hAnsi="宋体" w:eastAsia="宋体" w:cs="宋体"/>
          <w:snapToGrid w:val="0"/>
          <w:kern w:val="0"/>
          <w:sz w:val="22"/>
          <w:szCs w:val="28"/>
          <w:highlight w:val="none"/>
        </w:rPr>
      </w:pPr>
      <w:r>
        <w:rPr>
          <w:rFonts w:hint="eastAsia" w:ascii="宋体" w:hAnsi="宋体" w:eastAsia="宋体" w:cs="宋体"/>
          <w:snapToGrid w:val="0"/>
          <w:kern w:val="0"/>
          <w:sz w:val="22"/>
          <w:szCs w:val="28"/>
          <w:highlight w:val="none"/>
          <w:lang w:val="en-US" w:eastAsia="zh-CN"/>
        </w:rPr>
        <w:t>2、运输司机应遵循中粮家佳康的生物安全要求，司机、运输车辆消毒完成并获得中粮家佳康批准入厂后，由工厂人员指引行车路线进入厂区。</w:t>
      </w:r>
    </w:p>
    <w:p w14:paraId="757E20F1">
      <w:pPr>
        <w:keepNext w:val="0"/>
        <w:keepLines w:val="0"/>
        <w:pageBreakBefore w:val="0"/>
        <w:widowControl/>
        <w:kinsoku w:val="0"/>
        <w:wordWrap/>
        <w:overflowPunct/>
        <w:topLinePunct w:val="0"/>
        <w:autoSpaceDE w:val="0"/>
        <w:autoSpaceDN w:val="0"/>
        <w:bidi w:val="0"/>
        <w:adjustRightInd w:val="0"/>
        <w:snapToGrid w:val="0"/>
        <w:spacing w:line="360" w:lineRule="auto"/>
        <w:ind w:firstLine="440" w:firstLineChars="200"/>
        <w:jc w:val="both"/>
        <w:textAlignment w:val="baseline"/>
        <w:rPr>
          <w:rFonts w:hint="eastAsia" w:ascii="宋体" w:hAnsi="宋体" w:eastAsia="宋体" w:cs="宋体"/>
          <w:snapToGrid w:val="0"/>
          <w:kern w:val="0"/>
          <w:sz w:val="22"/>
          <w:szCs w:val="28"/>
          <w:highlight w:val="none"/>
        </w:rPr>
      </w:pPr>
      <w:r>
        <w:rPr>
          <w:rFonts w:hint="eastAsia" w:ascii="宋体" w:hAnsi="宋体" w:eastAsia="宋体" w:cs="宋体"/>
          <w:snapToGrid w:val="0"/>
          <w:kern w:val="0"/>
          <w:sz w:val="22"/>
          <w:szCs w:val="28"/>
          <w:highlight w:val="none"/>
          <w:lang w:val="en-US" w:eastAsia="zh-CN"/>
        </w:rPr>
        <w:t>八、以上条款请供应商知悉，并严格遵守，经检查不符合我司各项要求的货物我司有权进行退货处理，最终解释权归中粮家佳康养殖部所有。</w:t>
      </w:r>
    </w:p>
    <w:p w14:paraId="461CD148">
      <w:pPr>
        <w:snapToGrid w:val="0"/>
        <w:spacing w:line="360" w:lineRule="auto"/>
        <w:rPr>
          <w:rFonts w:hint="eastAsia" w:ascii="宋体" w:hAnsi="宋体" w:eastAsia="宋体" w:cs="宋体"/>
          <w:sz w:val="22"/>
          <w:szCs w:val="21"/>
          <w:highlight w:val="none"/>
          <w:u w:val="single"/>
          <w:lang w:bidi="en-US"/>
        </w:rPr>
      </w:pPr>
      <w:r>
        <w:rPr>
          <w:rFonts w:hint="eastAsia" w:ascii="宋体" w:hAnsi="宋体" w:eastAsia="宋体" w:cs="宋体"/>
          <w:snapToGrid w:val="0"/>
          <w:kern w:val="0"/>
          <w:sz w:val="22"/>
          <w:szCs w:val="21"/>
          <w:highlight w:val="none"/>
          <w:lang w:bidi="en-US"/>
        </w:rPr>
        <w:t>致：</w:t>
      </w:r>
      <w:r>
        <w:rPr>
          <w:rFonts w:hint="eastAsia" w:ascii="宋体" w:hAnsi="宋体" w:eastAsia="宋体" w:cs="宋体"/>
          <w:sz w:val="22"/>
          <w:highlight w:val="none"/>
          <w:u w:val="single"/>
        </w:rPr>
        <w:t>中粮集团有限公司</w:t>
      </w:r>
    </w:p>
    <w:p w14:paraId="3437A552">
      <w:pPr>
        <w:snapToGrid w:val="0"/>
        <w:spacing w:line="360" w:lineRule="auto"/>
        <w:rPr>
          <w:rFonts w:hint="eastAsia" w:ascii="宋体" w:hAnsi="宋体" w:eastAsia="宋体" w:cs="宋体"/>
          <w:snapToGrid w:val="0"/>
          <w:kern w:val="0"/>
          <w:sz w:val="22"/>
          <w:szCs w:val="21"/>
          <w:highlight w:val="none"/>
          <w:lang w:bidi="en-US"/>
        </w:rPr>
      </w:pPr>
      <w:r>
        <w:rPr>
          <w:rFonts w:hint="eastAsia" w:ascii="宋体" w:hAnsi="宋体" w:eastAsia="宋体" w:cs="宋体"/>
          <w:sz w:val="22"/>
          <w:szCs w:val="21"/>
          <w:highlight w:val="none"/>
          <w:u w:val="single"/>
          <w:lang w:bidi="en-US"/>
        </w:rPr>
        <w:t>安徽省招标集团股份有限公司</w:t>
      </w:r>
    </w:p>
    <w:p w14:paraId="0F896339">
      <w:pPr>
        <w:spacing w:line="360" w:lineRule="auto"/>
        <w:ind w:firstLine="330" w:firstLineChars="150"/>
        <w:rPr>
          <w:rFonts w:hint="eastAsia" w:ascii="宋体" w:hAnsi="宋体" w:eastAsia="宋体" w:cs="宋体"/>
          <w:snapToGrid w:val="0"/>
          <w:kern w:val="0"/>
          <w:sz w:val="22"/>
          <w:szCs w:val="21"/>
          <w:highlight w:val="none"/>
          <w:lang w:bidi="en-US"/>
        </w:rPr>
      </w:pPr>
      <w:r>
        <w:rPr>
          <w:rFonts w:hint="eastAsia" w:ascii="宋体" w:hAnsi="宋体" w:eastAsia="宋体" w:cs="宋体"/>
          <w:snapToGrid w:val="0"/>
          <w:kern w:val="0"/>
          <w:sz w:val="22"/>
          <w:szCs w:val="21"/>
          <w:highlight w:val="none"/>
          <w:lang w:bidi="en-US"/>
        </w:rPr>
        <w:t>我单位已</w:t>
      </w:r>
      <w:r>
        <w:rPr>
          <w:rFonts w:hint="eastAsia" w:ascii="宋体" w:hAnsi="宋体" w:eastAsia="宋体" w:cs="宋体"/>
          <w:snapToGrid w:val="0"/>
          <w:kern w:val="0"/>
          <w:sz w:val="22"/>
          <w:szCs w:val="21"/>
          <w:highlight w:val="none"/>
          <w:lang w:val="en-US" w:eastAsia="zh-CN" w:bidi="en-US"/>
        </w:rPr>
        <w:t>认真</w:t>
      </w:r>
      <w:r>
        <w:rPr>
          <w:rFonts w:hint="eastAsia" w:ascii="宋体" w:hAnsi="宋体" w:eastAsia="宋体" w:cs="宋体"/>
          <w:snapToGrid w:val="0"/>
          <w:kern w:val="0"/>
          <w:sz w:val="22"/>
          <w:szCs w:val="21"/>
          <w:highlight w:val="none"/>
          <w:lang w:bidi="en-US"/>
        </w:rPr>
        <w:t>阅读并知悉以上要求，我单位承诺将严格按照上述要求进行项目服务。若有违反，将承担全部责任。</w:t>
      </w:r>
    </w:p>
    <w:p w14:paraId="4B9DEA6E">
      <w:pPr>
        <w:spacing w:line="360" w:lineRule="auto"/>
        <w:ind w:firstLine="330" w:firstLineChars="150"/>
        <w:jc w:val="center"/>
        <w:rPr>
          <w:rFonts w:hint="eastAsia" w:ascii="宋体" w:hAnsi="宋体" w:eastAsia="宋体" w:cs="宋体"/>
          <w:snapToGrid w:val="0"/>
          <w:kern w:val="0"/>
          <w:sz w:val="22"/>
          <w:szCs w:val="21"/>
          <w:highlight w:val="none"/>
          <w:lang w:bidi="en-US"/>
        </w:rPr>
      </w:pPr>
      <w:r>
        <w:rPr>
          <w:rFonts w:hint="eastAsia" w:ascii="宋体" w:hAnsi="宋体" w:eastAsia="宋体" w:cs="宋体"/>
          <w:snapToGrid w:val="0"/>
          <w:kern w:val="0"/>
          <w:sz w:val="22"/>
          <w:szCs w:val="21"/>
          <w:highlight w:val="none"/>
          <w:lang w:bidi="en-US"/>
        </w:rPr>
        <w:t>供应商：</w:t>
      </w:r>
      <w:r>
        <w:rPr>
          <w:rFonts w:hint="eastAsia" w:ascii="宋体" w:hAnsi="宋体" w:eastAsia="宋体" w:cs="宋体"/>
          <w:snapToGrid w:val="0"/>
          <w:kern w:val="0"/>
          <w:sz w:val="22"/>
          <w:szCs w:val="21"/>
          <w:highlight w:val="none"/>
          <w:u w:val="single"/>
          <w:lang w:bidi="en-US"/>
        </w:rPr>
        <w:t xml:space="preserve">                  </w:t>
      </w:r>
      <w:r>
        <w:rPr>
          <w:rFonts w:hint="eastAsia" w:ascii="宋体" w:hAnsi="宋体" w:eastAsia="宋体" w:cs="宋体"/>
          <w:snapToGrid w:val="0"/>
          <w:kern w:val="0"/>
          <w:sz w:val="22"/>
          <w:szCs w:val="21"/>
          <w:highlight w:val="none"/>
          <w:lang w:bidi="en-US"/>
        </w:rPr>
        <w:t>（盖章）</w:t>
      </w:r>
    </w:p>
    <w:p w14:paraId="4882E6FF">
      <w:pPr>
        <w:spacing w:line="360" w:lineRule="auto"/>
        <w:ind w:firstLine="1320" w:firstLineChars="600"/>
        <w:jc w:val="center"/>
        <w:rPr>
          <w:rFonts w:hint="eastAsia" w:ascii="宋体" w:hAnsi="宋体" w:eastAsia="宋体" w:cs="宋体"/>
          <w:b/>
          <w:snapToGrid w:val="0"/>
          <w:color w:val="auto"/>
          <w:sz w:val="36"/>
          <w:highlight w:val="none"/>
          <w:lang w:bidi="en-US"/>
        </w:rPr>
      </w:pPr>
      <w:r>
        <w:rPr>
          <w:rFonts w:hint="eastAsia" w:ascii="宋体" w:hAnsi="宋体" w:eastAsia="宋体" w:cs="宋体"/>
          <w:snapToGrid w:val="0"/>
          <w:kern w:val="0"/>
          <w:sz w:val="22"/>
          <w:szCs w:val="21"/>
          <w:highlight w:val="none"/>
          <w:u w:val="single"/>
          <w:lang w:bidi="en-US"/>
        </w:rPr>
        <w:t xml:space="preserve">    </w:t>
      </w:r>
      <w:r>
        <w:rPr>
          <w:rFonts w:hint="eastAsia" w:ascii="宋体" w:hAnsi="宋体" w:eastAsia="宋体" w:cs="宋体"/>
          <w:snapToGrid w:val="0"/>
          <w:kern w:val="0"/>
          <w:sz w:val="22"/>
          <w:szCs w:val="21"/>
          <w:highlight w:val="none"/>
          <w:u w:val="none"/>
          <w:lang w:bidi="en-US"/>
        </w:rPr>
        <w:t>年</w:t>
      </w:r>
      <w:r>
        <w:rPr>
          <w:rFonts w:hint="eastAsia" w:ascii="宋体" w:hAnsi="宋体" w:eastAsia="宋体" w:cs="宋体"/>
          <w:snapToGrid w:val="0"/>
          <w:kern w:val="0"/>
          <w:sz w:val="22"/>
          <w:szCs w:val="21"/>
          <w:highlight w:val="none"/>
          <w:u w:val="single"/>
          <w:lang w:bidi="en-US"/>
        </w:rPr>
        <w:t xml:space="preserve">    </w:t>
      </w:r>
      <w:r>
        <w:rPr>
          <w:rFonts w:hint="eastAsia" w:ascii="宋体" w:hAnsi="宋体" w:eastAsia="宋体" w:cs="宋体"/>
          <w:snapToGrid w:val="0"/>
          <w:kern w:val="0"/>
          <w:sz w:val="22"/>
          <w:szCs w:val="21"/>
          <w:highlight w:val="none"/>
          <w:u w:val="none"/>
          <w:lang w:bidi="en-US"/>
        </w:rPr>
        <w:t>月</w:t>
      </w:r>
      <w:r>
        <w:rPr>
          <w:rFonts w:hint="eastAsia" w:ascii="宋体" w:hAnsi="宋体" w:eastAsia="宋体" w:cs="宋体"/>
          <w:snapToGrid w:val="0"/>
          <w:kern w:val="0"/>
          <w:sz w:val="22"/>
          <w:szCs w:val="21"/>
          <w:highlight w:val="none"/>
          <w:u w:val="single"/>
          <w:lang w:bidi="en-US"/>
        </w:rPr>
        <w:t xml:space="preserve">     </w:t>
      </w:r>
      <w:r>
        <w:rPr>
          <w:rFonts w:hint="eastAsia" w:ascii="宋体" w:hAnsi="宋体" w:eastAsia="宋体" w:cs="宋体"/>
          <w:snapToGrid w:val="0"/>
          <w:kern w:val="0"/>
          <w:sz w:val="22"/>
          <w:szCs w:val="21"/>
          <w:highlight w:val="none"/>
          <w:u w:val="none"/>
          <w:lang w:bidi="en-US"/>
        </w:rPr>
        <w:t>日</w:t>
      </w:r>
    </w:p>
    <w:p w14:paraId="35B871AF">
      <w:pPr>
        <w:snapToGrid w:val="0"/>
        <w:spacing w:line="360" w:lineRule="auto"/>
        <w:jc w:val="center"/>
        <w:rPr>
          <w:rFonts w:hint="eastAsia" w:ascii="宋体" w:hAnsi="宋体" w:eastAsia="宋体" w:cs="宋体"/>
          <w:b/>
          <w:snapToGrid w:val="0"/>
          <w:color w:val="auto"/>
          <w:sz w:val="36"/>
          <w:highlight w:val="none"/>
          <w:lang w:bidi="en-US"/>
        </w:rPr>
      </w:pPr>
    </w:p>
    <w:p w14:paraId="3A4A1653">
      <w:pPr>
        <w:rPr>
          <w:rFonts w:hint="eastAsia" w:ascii="宋体" w:hAnsi="宋体" w:eastAsia="宋体" w:cs="宋体"/>
          <w:b/>
          <w:bCs/>
          <w:snapToGrid w:val="0"/>
          <w:color w:val="auto"/>
          <w:kern w:val="0"/>
          <w:sz w:val="24"/>
          <w:highlight w:val="none"/>
          <w:lang w:bidi="en-US"/>
        </w:rPr>
      </w:pPr>
      <w:r>
        <w:rPr>
          <w:rFonts w:hint="eastAsia" w:ascii="宋体" w:hAnsi="宋体" w:eastAsia="宋体" w:cs="宋体"/>
          <w:b/>
          <w:bCs/>
          <w:snapToGrid w:val="0"/>
          <w:color w:val="auto"/>
          <w:kern w:val="0"/>
          <w:sz w:val="24"/>
          <w:highlight w:val="none"/>
          <w:lang w:bidi="en-US"/>
        </w:rPr>
        <w:br w:type="page"/>
      </w:r>
    </w:p>
    <w:p w14:paraId="376C60F8">
      <w:pPr>
        <w:rPr>
          <w:rFonts w:hint="eastAsia" w:ascii="宋体" w:hAnsi="宋体" w:eastAsia="宋体" w:cs="宋体"/>
          <w:b/>
          <w:bCs/>
          <w:snapToGrid w:val="0"/>
          <w:color w:val="auto"/>
          <w:kern w:val="0"/>
          <w:sz w:val="24"/>
          <w:highlight w:val="none"/>
          <w:lang w:val="en-US" w:eastAsia="zh-CN" w:bidi="en-US"/>
        </w:rPr>
      </w:pPr>
      <w:r>
        <w:rPr>
          <w:rFonts w:hint="eastAsia" w:ascii="宋体" w:hAnsi="宋体" w:eastAsia="宋体" w:cs="宋体"/>
          <w:b/>
          <w:bCs/>
          <w:snapToGrid w:val="0"/>
          <w:color w:val="auto"/>
          <w:kern w:val="0"/>
          <w:sz w:val="24"/>
          <w:highlight w:val="none"/>
          <w:lang w:bidi="en-US"/>
        </w:rPr>
        <w:t>附件</w:t>
      </w:r>
      <w:r>
        <w:rPr>
          <w:rFonts w:hint="eastAsia" w:ascii="宋体" w:hAnsi="宋体" w:eastAsia="宋体" w:cs="宋体"/>
          <w:b/>
          <w:bCs/>
          <w:snapToGrid w:val="0"/>
          <w:color w:val="auto"/>
          <w:kern w:val="0"/>
          <w:sz w:val="24"/>
          <w:highlight w:val="none"/>
          <w:lang w:val="en-US" w:eastAsia="zh-CN" w:bidi="en-US"/>
        </w:rPr>
        <w:t>9：</w:t>
      </w:r>
    </w:p>
    <w:p w14:paraId="68E40459">
      <w:pPr>
        <w:snapToGrid w:val="0"/>
        <w:spacing w:line="360" w:lineRule="auto"/>
        <w:jc w:val="center"/>
        <w:rPr>
          <w:rFonts w:hint="eastAsia" w:ascii="宋体" w:hAnsi="宋体" w:eastAsia="宋体" w:cs="宋体"/>
          <w:b/>
          <w:snapToGrid w:val="0"/>
          <w:color w:val="auto"/>
          <w:sz w:val="28"/>
          <w:szCs w:val="20"/>
          <w:highlight w:val="none"/>
          <w:lang w:val="en-US" w:eastAsia="zh-CN" w:bidi="en-US"/>
        </w:rPr>
      </w:pPr>
      <w:r>
        <w:rPr>
          <w:rFonts w:hint="eastAsia" w:ascii="宋体" w:hAnsi="宋体" w:eastAsia="宋体" w:cs="宋体"/>
          <w:b/>
          <w:snapToGrid w:val="0"/>
          <w:color w:val="auto"/>
          <w:sz w:val="28"/>
          <w:szCs w:val="20"/>
          <w:highlight w:val="none"/>
          <w:lang w:val="en-US" w:eastAsia="zh-CN" w:bidi="en-US"/>
        </w:rPr>
        <w:t>中粮家佳康关于生物安全防控的通知-牲猪运输物流</w:t>
      </w:r>
    </w:p>
    <w:p w14:paraId="7419B180">
      <w:pPr>
        <w:widowControl/>
        <w:kinsoku w:val="0"/>
        <w:autoSpaceDE w:val="0"/>
        <w:autoSpaceDN w:val="0"/>
        <w:adjustRightInd w:val="0"/>
        <w:snapToGrid w:val="0"/>
        <w:spacing w:line="360" w:lineRule="auto"/>
        <w:ind w:firstLine="440" w:firstLineChars="200"/>
        <w:jc w:val="left"/>
        <w:textAlignment w:val="baseline"/>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rPr>
        <w:t>为加强生物安全管控，切断病源通过车辆及运输环节等污染货物的途径，保证运输途中货物的安全，确保货物无疫情传播隐患，我司要求供中粮家佳康货物的供应商和物流商认可并支持中粮防非要求，遵循以下条款：</w:t>
      </w:r>
    </w:p>
    <w:p w14:paraId="2F9120D7">
      <w:pPr>
        <w:pStyle w:val="6"/>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lang w:val="en-US" w:eastAsia="zh-CN" w:bidi="ar-SA"/>
        </w:rPr>
        <w:t>1.</w:t>
      </w:r>
      <w:r>
        <w:rPr>
          <w:rFonts w:hint="eastAsia" w:ascii="宋体" w:hAnsi="宋体" w:eastAsia="宋体" w:cs="宋体"/>
          <w:snapToGrid w:val="0"/>
          <w:color w:val="auto"/>
          <w:kern w:val="0"/>
          <w:sz w:val="22"/>
          <w:szCs w:val="28"/>
          <w:highlight w:val="none"/>
        </w:rPr>
        <w:t>成交供应商须提供性能良好、车况整洁符合要求的专用车辆；成交供应商提供的所有封闭车辆均应能够满足NY/T4032-2021封闭式牲猪运输车辆生物安全技术要求，车辆结构合理，组装牢固，配备密封措施，避免牲猪受感染或污染，防止动物排泄物遗洒、渗漏。满足GB/T20014.11良好农业规范有关畜禽公路运输控制点与符合性规范有关要求。</w:t>
      </w:r>
    </w:p>
    <w:p w14:paraId="766A024E">
      <w:pPr>
        <w:pStyle w:val="6"/>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lang w:val="en-US" w:eastAsia="zh-CN" w:bidi="ar-SA"/>
        </w:rPr>
        <w:t>2.</w:t>
      </w:r>
      <w:r>
        <w:rPr>
          <w:rFonts w:hint="eastAsia" w:ascii="宋体" w:hAnsi="宋体" w:eastAsia="宋体" w:cs="宋体"/>
          <w:snapToGrid w:val="0"/>
          <w:color w:val="auto"/>
          <w:kern w:val="0"/>
          <w:sz w:val="22"/>
          <w:szCs w:val="28"/>
          <w:highlight w:val="none"/>
        </w:rPr>
        <w:t>成交供应商应具备相应资质证件并依法从事牲猪运输，确保具备相应合法有效的运输车辆、行车营运证件、保险及其他相关合法手续，驾驶人员具备驾驶证等合法证件。</w:t>
      </w:r>
    </w:p>
    <w:p w14:paraId="009E4A8A">
      <w:pPr>
        <w:pStyle w:val="6"/>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lang w:val="en-US" w:eastAsia="zh-CN" w:bidi="ar-SA"/>
        </w:rPr>
        <w:t>3.</w:t>
      </w:r>
      <w:r>
        <w:rPr>
          <w:rFonts w:hint="eastAsia" w:ascii="宋体" w:hAnsi="宋体" w:eastAsia="宋体" w:cs="宋体"/>
          <w:snapToGrid w:val="0"/>
          <w:color w:val="auto"/>
          <w:kern w:val="0"/>
          <w:sz w:val="22"/>
          <w:szCs w:val="28"/>
          <w:highlight w:val="none"/>
        </w:rPr>
        <w:t>成交供应商车辆应配置照明设备、车载GPS定位系统、行车记录仪、视频监控系统；具备饮水系统；（除高栏车外）具备通风系统、空气过滤系统、温控系统等。</w:t>
      </w:r>
    </w:p>
    <w:p w14:paraId="5EC8A379">
      <w:pPr>
        <w:pStyle w:val="6"/>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lang w:val="en-US" w:eastAsia="zh-CN" w:bidi="ar-SA"/>
        </w:rPr>
        <w:t>4.</w:t>
      </w:r>
      <w:r>
        <w:rPr>
          <w:rFonts w:hint="eastAsia" w:ascii="宋体" w:hAnsi="宋体" w:eastAsia="宋体" w:cs="宋体"/>
          <w:snapToGrid w:val="0"/>
          <w:color w:val="auto"/>
          <w:kern w:val="0"/>
          <w:sz w:val="22"/>
          <w:szCs w:val="28"/>
          <w:highlight w:val="none"/>
        </w:rPr>
        <w:t>成交供应商车辆需配备备用微型发电机为甲方车辆标准配置要求。</w:t>
      </w:r>
    </w:p>
    <w:p w14:paraId="39B5F9E7">
      <w:pPr>
        <w:pStyle w:val="6"/>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lang w:val="en-US" w:eastAsia="zh-CN" w:bidi="ar-SA"/>
        </w:rPr>
        <w:t>5.</w:t>
      </w:r>
      <w:r>
        <w:rPr>
          <w:rFonts w:hint="eastAsia" w:ascii="宋体" w:hAnsi="宋体" w:eastAsia="宋体" w:cs="宋体"/>
          <w:snapToGrid w:val="0"/>
          <w:color w:val="auto"/>
          <w:kern w:val="0"/>
          <w:sz w:val="22"/>
          <w:szCs w:val="28"/>
          <w:highlight w:val="none"/>
        </w:rPr>
        <w:t>成交供应商承运的全封闭恒温牲猪运输车辆的空调、温度探头等设施设备需完好无损，制冷、制热温度能达到10-28℃之间，并可以正常使用。</w:t>
      </w:r>
    </w:p>
    <w:p w14:paraId="2E224CB6">
      <w:pPr>
        <w:pStyle w:val="6"/>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lang w:val="en-US" w:eastAsia="zh-CN" w:bidi="ar-SA"/>
        </w:rPr>
        <w:t>6.</w:t>
      </w:r>
      <w:r>
        <w:rPr>
          <w:rFonts w:hint="eastAsia" w:ascii="宋体" w:hAnsi="宋体" w:eastAsia="宋体" w:cs="宋体"/>
          <w:snapToGrid w:val="0"/>
          <w:color w:val="auto"/>
          <w:kern w:val="0"/>
          <w:sz w:val="22"/>
          <w:szCs w:val="28"/>
          <w:highlight w:val="none"/>
        </w:rPr>
        <w:t>成交供应商承运的全封闭恒温牲猪运输车辆，每次承运前必须更换全新的空气过滤装制。全封闭恒温车需按标准配置精滤(F8或F9)及粗滤（G4）。</w:t>
      </w:r>
    </w:p>
    <w:p w14:paraId="49BFFDE7">
      <w:pPr>
        <w:pStyle w:val="6"/>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lang w:val="en-US" w:eastAsia="zh-CN" w:bidi="ar-SA"/>
        </w:rPr>
        <w:t>7.</w:t>
      </w:r>
      <w:r>
        <w:rPr>
          <w:rFonts w:hint="eastAsia" w:ascii="宋体" w:hAnsi="宋体" w:eastAsia="宋体" w:cs="宋体"/>
          <w:snapToGrid w:val="0"/>
          <w:color w:val="auto"/>
          <w:kern w:val="0"/>
          <w:sz w:val="22"/>
          <w:szCs w:val="28"/>
          <w:highlight w:val="none"/>
        </w:rPr>
        <w:t>成交供应商承运车辆，车厢内部需符合以下要求：车厢采用封闭式框架结构，部分或整体开启时通风良好，带空气过滤功能的车型在侧板密闭状态下厢体密封性良好。车厢内部设计合理，车厢壁及底部、隔板耐腐蚀、防渗漏、耐高温、防火，表面无毛刺或尖锐凸起部分，底板及地板采用竖纹或斜纹防滑，纹路宽度≤2cm，便于清洗、消毒和烘干，所有接缝连接严密。车顶板具有隔热性能。车厢内猪栏分层分栏设置，单层净高确保猪只正常站立，每层配置分栏隔断。各层猪栏进出口位于车厢尾部，便于与出猪通道良好衔接，门窗处加装围栏，防止运输过程中猪只跌落或碰撞损坏。车厢设有可从外部开启的应急门窗，满足应急情况下通风和观察牲猪状态的需求。</w:t>
      </w:r>
    </w:p>
    <w:p w14:paraId="0A204248">
      <w:pPr>
        <w:pStyle w:val="6"/>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lang w:val="en-US" w:eastAsia="zh-CN" w:bidi="ar-SA"/>
        </w:rPr>
        <w:t>8.</w:t>
      </w:r>
      <w:r>
        <w:rPr>
          <w:rFonts w:hint="eastAsia" w:ascii="宋体" w:hAnsi="宋体" w:eastAsia="宋体" w:cs="宋体"/>
          <w:snapToGrid w:val="0"/>
          <w:color w:val="auto"/>
          <w:kern w:val="0"/>
          <w:sz w:val="22"/>
          <w:szCs w:val="28"/>
          <w:highlight w:val="none"/>
        </w:rPr>
        <w:t>成交供应商承运单程700公里及以上运输时，每台车须配备2名驾驶员并积极配合转运中的各项工作；</w:t>
      </w:r>
    </w:p>
    <w:p w14:paraId="34C956E2">
      <w:pPr>
        <w:pStyle w:val="6"/>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lang w:val="en-US" w:eastAsia="zh-CN" w:bidi="ar-SA"/>
        </w:rPr>
        <w:t>9.</w:t>
      </w:r>
      <w:r>
        <w:rPr>
          <w:rFonts w:hint="eastAsia" w:ascii="宋体" w:hAnsi="宋体" w:eastAsia="宋体" w:cs="宋体"/>
          <w:snapToGrid w:val="0"/>
          <w:color w:val="auto"/>
          <w:kern w:val="0"/>
          <w:sz w:val="22"/>
          <w:szCs w:val="28"/>
          <w:highlight w:val="none"/>
        </w:rPr>
        <w:t>成交供应商应在公司组织架构、人员异动、管理制度、承运车辆等发生变更时须在中粮家佳康养殖部和各区域公司备案；</w:t>
      </w:r>
    </w:p>
    <w:p w14:paraId="7C70D961">
      <w:pPr>
        <w:pStyle w:val="6"/>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lang w:val="en-US" w:eastAsia="zh-CN" w:bidi="ar-SA"/>
        </w:rPr>
        <w:t>10.</w:t>
      </w:r>
      <w:r>
        <w:rPr>
          <w:rFonts w:hint="eastAsia" w:ascii="宋体" w:hAnsi="宋体" w:eastAsia="宋体" w:cs="宋体"/>
          <w:snapToGrid w:val="0"/>
          <w:color w:val="auto"/>
          <w:kern w:val="0"/>
          <w:sz w:val="22"/>
          <w:szCs w:val="28"/>
          <w:highlight w:val="none"/>
        </w:rPr>
        <w:t>成交供应商应保证运输期间猪只安全。运输途中因交通事故、车辆故障、天气原因造成的猪只运输滞留，成交供应商应在事故发生1个小时内告知采购方，同时出具有效的解决方案并采取行动，以保证猪的及时、安全到达。若因交通事故导致采购方损失的，成交供应商根据市场价进行赔偿；非因事故死亡的：（1）种猪本批次运输死亡千分之八以下承运方免责，超出千分之八的部分根据市场价赔偿；但每车3头以下承运方免责，超出3头根据市场价赔偿。（2）苗猪本批次运输死亡千分之三以下承运方免责，超过千分之三的部分根据市场价赔偿；但每车8头以下承运方免责，超出8头根据市场价赔偿。（3）肥猪本批次运输死亡千分之八以下承运方免责，超过千分之八的部分根据市场价赔偿；但每车3头以下承运方免责，超出3头根据市场价赔偿。</w:t>
      </w:r>
    </w:p>
    <w:p w14:paraId="506F665C">
      <w:pPr>
        <w:pStyle w:val="6"/>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lang w:val="en-US" w:eastAsia="zh-CN" w:bidi="ar-SA"/>
        </w:rPr>
        <w:t>11.</w:t>
      </w:r>
      <w:r>
        <w:rPr>
          <w:rFonts w:hint="eastAsia" w:ascii="宋体" w:hAnsi="宋体" w:eastAsia="宋体" w:cs="宋体"/>
          <w:snapToGrid w:val="0"/>
          <w:color w:val="auto"/>
          <w:kern w:val="0"/>
          <w:sz w:val="22"/>
          <w:szCs w:val="28"/>
          <w:highlight w:val="none"/>
        </w:rPr>
        <w:t>成交供应商应按采购方规定路线行驶，如要更改路线，需提前报备至采购方，经采购方同意后方可更改路线。若因未按照规定路线且未提前报备造成采购方损失，全部损失由成交供应商承担。</w:t>
      </w:r>
    </w:p>
    <w:p w14:paraId="41D76A93">
      <w:pPr>
        <w:pStyle w:val="6"/>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lang w:val="en-US" w:eastAsia="zh-CN" w:bidi="ar-SA"/>
        </w:rPr>
        <w:t>12.</w:t>
      </w:r>
      <w:r>
        <w:rPr>
          <w:rFonts w:hint="eastAsia" w:ascii="宋体" w:hAnsi="宋体" w:eastAsia="宋体" w:cs="宋体"/>
          <w:snapToGrid w:val="0"/>
          <w:color w:val="auto"/>
          <w:kern w:val="0"/>
          <w:sz w:val="22"/>
          <w:szCs w:val="28"/>
          <w:highlight w:val="none"/>
        </w:rPr>
        <w:t>成交供应商应服从区域公司及养殖场猪只装卸日常管理制度；</w:t>
      </w:r>
    </w:p>
    <w:p w14:paraId="6E79562B">
      <w:pPr>
        <w:pStyle w:val="6"/>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lang w:val="en-US" w:eastAsia="zh-CN" w:bidi="ar-SA"/>
        </w:rPr>
        <w:t>13.</w:t>
      </w:r>
      <w:r>
        <w:rPr>
          <w:rFonts w:hint="eastAsia" w:ascii="宋体" w:hAnsi="宋体" w:eastAsia="宋体" w:cs="宋体"/>
          <w:snapToGrid w:val="0"/>
          <w:color w:val="auto"/>
          <w:kern w:val="0"/>
          <w:sz w:val="22"/>
          <w:szCs w:val="28"/>
          <w:highlight w:val="none"/>
        </w:rPr>
        <w:t>成交供应商应服从采购方生物安全管控要求，能接受公司根据实际情况修正的生物安全管控要求；不限于以下要求：</w:t>
      </w:r>
    </w:p>
    <w:p w14:paraId="33033F53">
      <w:pPr>
        <w:pStyle w:val="6"/>
        <w:numPr>
          <w:ilvl w:val="0"/>
          <w:numId w:val="1"/>
        </w:numPr>
        <w:spacing w:line="360" w:lineRule="auto"/>
        <w:ind w:firstLine="44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rPr>
        <w:t>成交供应商运输车辆在采购方指定洗消点检测合格后进行清洗消毒烘干，由区域兽医鉴定合格后前往装猪地点，运猪前需再次进行清洗消毒，消毒完后在指定地点等待装猪。</w:t>
      </w:r>
    </w:p>
    <w:p w14:paraId="5D17CF86">
      <w:pPr>
        <w:pStyle w:val="6"/>
        <w:numPr>
          <w:ilvl w:val="0"/>
          <w:numId w:val="1"/>
        </w:numPr>
        <w:spacing w:line="360" w:lineRule="auto"/>
        <w:ind w:firstLine="44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rPr>
        <w:t>运输期间，成交供应商运输司机服从采购方管理，成交供应商车辆驾驶员出发前经采购方培训并签订生物安全承诺书。包括但不限于按采购方指定路线行驶，按采购方要求上下车辆，汇报车辆信息和生物安全相关等要求。</w:t>
      </w:r>
    </w:p>
    <w:p w14:paraId="157B53BF">
      <w:pPr>
        <w:pStyle w:val="6"/>
        <w:numPr>
          <w:ilvl w:val="0"/>
          <w:numId w:val="1"/>
        </w:numPr>
        <w:spacing w:line="360" w:lineRule="auto"/>
        <w:ind w:firstLine="44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rPr>
        <w:t>成交供应商运输车辆禁止急开急停，减少对猪只的损伤和应激。运输途中，如遇与本次运输无关的其他动物运输车辆，应迅速避让，至少远离此类车辆1公里以外行驶并第一时间告知采购方相应情况。禁止在直线500米以内的距离与本次运输无关的其他动物运输车停放在一起。</w:t>
      </w:r>
    </w:p>
    <w:p w14:paraId="100B9CA4">
      <w:pPr>
        <w:pStyle w:val="6"/>
        <w:numPr>
          <w:ilvl w:val="0"/>
          <w:numId w:val="1"/>
        </w:numPr>
        <w:spacing w:line="360" w:lineRule="auto"/>
        <w:ind w:firstLine="44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rPr>
        <w:t>整个运输期内，成交供应商相关人员禁止食用猪肉、牛肉、羊肉、狗肉等畜产品，但是可以食用禽类和鱼类。整个运输期内，车辆和参与运输人员禁止接触其它相关家畜，禁止携带与本次运输无关的其他任何动物进入车体。</w:t>
      </w:r>
    </w:p>
    <w:p w14:paraId="5BBC4FB3">
      <w:pPr>
        <w:pStyle w:val="6"/>
        <w:numPr>
          <w:ilvl w:val="0"/>
          <w:numId w:val="1"/>
        </w:numPr>
        <w:spacing w:line="360" w:lineRule="auto"/>
        <w:ind w:firstLine="44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rPr>
        <w:t>到达猪场时车体外部不得有肉眼可见的动物排泄物（粪、尿、粘液）或动物组织（血液、皮肤、猪毛、肉、蹄甲），轮胎/挡泥板必须清洗干净；</w:t>
      </w:r>
    </w:p>
    <w:p w14:paraId="1107A48D">
      <w:pPr>
        <w:pStyle w:val="6"/>
        <w:numPr>
          <w:ilvl w:val="0"/>
          <w:numId w:val="1"/>
        </w:numPr>
        <w:spacing w:line="360" w:lineRule="auto"/>
        <w:ind w:firstLine="44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rPr>
        <w:t>到养殖场时，司机根据管理要求决定是否沐浴更衣及全程是否允许下车；</w:t>
      </w:r>
    </w:p>
    <w:p w14:paraId="293363F1">
      <w:pPr>
        <w:pStyle w:val="6"/>
        <w:numPr>
          <w:ilvl w:val="0"/>
          <w:numId w:val="1"/>
        </w:numPr>
        <w:spacing w:line="360" w:lineRule="auto"/>
        <w:ind w:firstLine="44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rPr>
        <w:t>猪车进养殖场时需在门口消毒池中冲洗消毒（按兽医部要求配制消毒液、车体、底盘、泥瓦盖下面不得有污渍）；</w:t>
      </w:r>
    </w:p>
    <w:p w14:paraId="4EFD7C47">
      <w:pPr>
        <w:pStyle w:val="6"/>
        <w:numPr>
          <w:ilvl w:val="0"/>
          <w:numId w:val="1"/>
        </w:numPr>
        <w:spacing w:line="360" w:lineRule="auto"/>
        <w:ind w:firstLine="44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rPr>
        <w:t>司机用浸泡过消毒剂（规定稀释比例）的抹布擦拭驾驶室方向盘、脚垫、操纵杆、各面板等；</w:t>
      </w:r>
    </w:p>
    <w:p w14:paraId="121E1ECD">
      <w:pPr>
        <w:pStyle w:val="6"/>
        <w:numPr>
          <w:ilvl w:val="0"/>
          <w:numId w:val="1"/>
        </w:numPr>
        <w:spacing w:line="360" w:lineRule="auto"/>
        <w:ind w:firstLine="44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rPr>
        <w:t>消毒完毕后车辆高温烘干；</w:t>
      </w:r>
    </w:p>
    <w:p w14:paraId="59B47B9F">
      <w:pPr>
        <w:pStyle w:val="6"/>
        <w:numPr>
          <w:ilvl w:val="0"/>
          <w:numId w:val="1"/>
        </w:numPr>
        <w:spacing w:line="360" w:lineRule="auto"/>
        <w:ind w:firstLine="44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rPr>
        <w:t>司机不得在猪场留宿或在食堂内进行餐饮活动；</w:t>
      </w:r>
    </w:p>
    <w:p w14:paraId="5C8E20A6">
      <w:pPr>
        <w:pStyle w:val="6"/>
        <w:numPr>
          <w:ilvl w:val="0"/>
          <w:numId w:val="1"/>
        </w:numPr>
        <w:spacing w:line="360" w:lineRule="auto"/>
        <w:ind w:firstLine="44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rPr>
        <w:t>司机不得接触猪场的动物性污染源（如死猪），不得携带未经许可的场区物资出场；</w:t>
      </w:r>
    </w:p>
    <w:p w14:paraId="318044BD">
      <w:pPr>
        <w:pStyle w:val="6"/>
        <w:numPr>
          <w:ilvl w:val="0"/>
          <w:numId w:val="1"/>
        </w:numPr>
        <w:spacing w:line="360" w:lineRule="auto"/>
        <w:ind w:firstLine="44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rPr>
        <w:t>司机离开猪场时需退还提供的鞋服并放置在指定地点；</w:t>
      </w:r>
    </w:p>
    <w:p w14:paraId="2BC304D4">
      <w:pPr>
        <w:pStyle w:val="6"/>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lang w:val="en-US" w:eastAsia="zh-CN" w:bidi="ar-SA"/>
        </w:rPr>
        <w:t>14.</w:t>
      </w:r>
      <w:r>
        <w:rPr>
          <w:rFonts w:hint="eastAsia" w:ascii="宋体" w:hAnsi="宋体" w:eastAsia="宋体" w:cs="宋体"/>
          <w:snapToGrid w:val="0"/>
          <w:color w:val="auto"/>
          <w:kern w:val="0"/>
          <w:sz w:val="22"/>
          <w:szCs w:val="28"/>
          <w:highlight w:val="none"/>
        </w:rPr>
        <w:t>采购方根据生物安全检查结果，对不符合生物安全要求的车辆，成交供应商需在4小时内整改，未整改或整改不达标的车辆给予劝退；</w:t>
      </w:r>
    </w:p>
    <w:p w14:paraId="1C9D1D6E">
      <w:pPr>
        <w:pStyle w:val="6"/>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lang w:val="en-US" w:eastAsia="zh-CN" w:bidi="ar-SA"/>
        </w:rPr>
        <w:t>15.</w:t>
      </w:r>
      <w:r>
        <w:rPr>
          <w:rFonts w:hint="eastAsia" w:ascii="宋体" w:hAnsi="宋体" w:eastAsia="宋体" w:cs="宋体"/>
          <w:snapToGrid w:val="0"/>
          <w:color w:val="auto"/>
          <w:kern w:val="0"/>
          <w:sz w:val="22"/>
          <w:szCs w:val="28"/>
          <w:highlight w:val="none"/>
        </w:rPr>
        <w:t>成交供应商要接受采购方定期审核与不定期飞检，对审核出的问题限期整改，若不能完成，采购方有权终止合同；</w:t>
      </w:r>
    </w:p>
    <w:p w14:paraId="5F815ABB">
      <w:pPr>
        <w:pStyle w:val="6"/>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lang w:val="en-US" w:eastAsia="zh-CN" w:bidi="ar-SA"/>
        </w:rPr>
        <w:t>16.</w:t>
      </w:r>
      <w:r>
        <w:rPr>
          <w:rFonts w:hint="eastAsia" w:ascii="宋体" w:hAnsi="宋体" w:eastAsia="宋体" w:cs="宋体"/>
          <w:snapToGrid w:val="0"/>
          <w:color w:val="auto"/>
          <w:kern w:val="0"/>
          <w:sz w:val="22"/>
          <w:szCs w:val="28"/>
          <w:highlight w:val="none"/>
        </w:rPr>
        <w:t>接受采购方每年对成交供应商做一次承包方能力评估，评估不合格，采购方有权终止合同。</w:t>
      </w:r>
    </w:p>
    <w:p w14:paraId="1D8B80FB">
      <w:pPr>
        <w:pStyle w:val="6"/>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lang w:val="en-US" w:eastAsia="zh-CN" w:bidi="ar-SA"/>
        </w:rPr>
        <w:t>17.</w:t>
      </w:r>
      <w:r>
        <w:rPr>
          <w:rFonts w:hint="eastAsia" w:ascii="宋体" w:hAnsi="宋体" w:eastAsia="宋体" w:cs="宋体"/>
          <w:snapToGrid w:val="0"/>
          <w:color w:val="auto"/>
          <w:kern w:val="0"/>
          <w:sz w:val="22"/>
          <w:szCs w:val="28"/>
          <w:highlight w:val="none"/>
        </w:rPr>
        <w:t>成交供应商在承运过程中严禁弄虚作假、徇私舞弊，一经证实取消该物流公司在本区域所有运输资格，终止合同。</w:t>
      </w:r>
    </w:p>
    <w:p w14:paraId="4B67B747">
      <w:pPr>
        <w:pStyle w:val="6"/>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rPr>
      </w:pPr>
      <w:r>
        <w:rPr>
          <w:rFonts w:hint="eastAsia" w:ascii="宋体" w:hAnsi="宋体" w:eastAsia="宋体" w:cs="宋体"/>
          <w:snapToGrid w:val="0"/>
          <w:color w:val="auto"/>
          <w:kern w:val="0"/>
          <w:sz w:val="22"/>
          <w:szCs w:val="28"/>
          <w:highlight w:val="none"/>
          <w:lang w:val="en-US" w:eastAsia="zh-CN" w:bidi="ar-SA"/>
        </w:rPr>
        <w:t>18.</w:t>
      </w:r>
      <w:r>
        <w:rPr>
          <w:rFonts w:hint="eastAsia" w:ascii="宋体" w:hAnsi="宋体" w:eastAsia="宋体" w:cs="宋体"/>
          <w:snapToGrid w:val="0"/>
          <w:color w:val="auto"/>
          <w:kern w:val="0"/>
          <w:sz w:val="22"/>
          <w:szCs w:val="28"/>
          <w:highlight w:val="none"/>
        </w:rPr>
        <w:t>合同期内成交供应商需严格按照采购方所需车辆数提供合格车辆以确保采购方能按计划完成运输。对不能及时提供车辆的，视同恶意竞标，采购方有权对成交供应商的保证金进行扣款。</w:t>
      </w:r>
    </w:p>
    <w:p w14:paraId="0AC028BF">
      <w:pPr>
        <w:snapToGrid w:val="0"/>
        <w:spacing w:line="360" w:lineRule="auto"/>
        <w:rPr>
          <w:rFonts w:hint="eastAsia" w:ascii="宋体" w:hAnsi="宋体" w:eastAsia="宋体" w:cs="宋体"/>
          <w:color w:val="auto"/>
          <w:sz w:val="22"/>
          <w:szCs w:val="21"/>
          <w:highlight w:val="none"/>
          <w:u w:val="single"/>
          <w:lang w:bidi="en-US"/>
        </w:rPr>
      </w:pPr>
      <w:r>
        <w:rPr>
          <w:rFonts w:hint="eastAsia" w:ascii="宋体" w:hAnsi="宋体" w:eastAsia="宋体" w:cs="宋体"/>
          <w:snapToGrid w:val="0"/>
          <w:color w:val="auto"/>
          <w:kern w:val="0"/>
          <w:sz w:val="22"/>
          <w:szCs w:val="21"/>
          <w:highlight w:val="none"/>
          <w:lang w:bidi="en-US"/>
        </w:rPr>
        <w:t>致：</w:t>
      </w:r>
      <w:r>
        <w:rPr>
          <w:rFonts w:hint="eastAsia" w:ascii="宋体" w:hAnsi="宋体" w:eastAsia="宋体" w:cs="宋体"/>
          <w:color w:val="auto"/>
          <w:sz w:val="22"/>
          <w:highlight w:val="none"/>
          <w:u w:val="single"/>
        </w:rPr>
        <w:t>中粮集团有限公司</w:t>
      </w:r>
    </w:p>
    <w:p w14:paraId="459C3BBF">
      <w:pPr>
        <w:snapToGrid w:val="0"/>
        <w:spacing w:line="360" w:lineRule="auto"/>
        <w:rPr>
          <w:rFonts w:hint="eastAsia" w:ascii="宋体" w:hAnsi="宋体" w:eastAsia="宋体" w:cs="宋体"/>
          <w:snapToGrid w:val="0"/>
          <w:color w:val="auto"/>
          <w:kern w:val="0"/>
          <w:sz w:val="22"/>
          <w:szCs w:val="21"/>
          <w:highlight w:val="none"/>
          <w:lang w:bidi="en-US"/>
        </w:rPr>
      </w:pPr>
      <w:r>
        <w:rPr>
          <w:rFonts w:hint="eastAsia" w:ascii="宋体" w:hAnsi="宋体" w:eastAsia="宋体" w:cs="宋体"/>
          <w:color w:val="auto"/>
          <w:sz w:val="22"/>
          <w:szCs w:val="21"/>
          <w:highlight w:val="none"/>
          <w:lang w:bidi="en-US"/>
        </w:rPr>
        <w:t xml:space="preserve">    </w:t>
      </w:r>
      <w:r>
        <w:rPr>
          <w:rFonts w:hint="eastAsia" w:ascii="宋体" w:hAnsi="宋体" w:eastAsia="宋体" w:cs="宋体"/>
          <w:color w:val="auto"/>
          <w:sz w:val="22"/>
          <w:szCs w:val="21"/>
          <w:highlight w:val="none"/>
          <w:u w:val="single"/>
          <w:lang w:bidi="en-US"/>
        </w:rPr>
        <w:t xml:space="preserve">  安徽省招标集团股份有限公司</w:t>
      </w:r>
    </w:p>
    <w:p w14:paraId="01DF3AA8">
      <w:pPr>
        <w:spacing w:line="360" w:lineRule="auto"/>
        <w:ind w:firstLine="330" w:firstLineChars="150"/>
        <w:rPr>
          <w:rFonts w:hint="eastAsia" w:ascii="宋体" w:hAnsi="宋体" w:eastAsia="宋体" w:cs="宋体"/>
          <w:snapToGrid w:val="0"/>
          <w:kern w:val="0"/>
          <w:sz w:val="22"/>
          <w:szCs w:val="21"/>
          <w:highlight w:val="none"/>
          <w:lang w:bidi="en-US"/>
        </w:rPr>
      </w:pPr>
      <w:r>
        <w:rPr>
          <w:rFonts w:hint="eastAsia" w:ascii="宋体" w:hAnsi="宋体" w:eastAsia="宋体" w:cs="宋体"/>
          <w:snapToGrid w:val="0"/>
          <w:kern w:val="0"/>
          <w:sz w:val="22"/>
          <w:szCs w:val="21"/>
          <w:highlight w:val="none"/>
          <w:lang w:bidi="en-US"/>
        </w:rPr>
        <w:t>我单位已</w:t>
      </w:r>
      <w:r>
        <w:rPr>
          <w:rFonts w:hint="eastAsia" w:ascii="宋体" w:hAnsi="宋体" w:eastAsia="宋体" w:cs="宋体"/>
          <w:snapToGrid w:val="0"/>
          <w:kern w:val="0"/>
          <w:sz w:val="22"/>
          <w:szCs w:val="21"/>
          <w:highlight w:val="none"/>
          <w:lang w:val="en-US" w:eastAsia="zh-CN" w:bidi="en-US"/>
        </w:rPr>
        <w:t>认真</w:t>
      </w:r>
      <w:r>
        <w:rPr>
          <w:rFonts w:hint="eastAsia" w:ascii="宋体" w:hAnsi="宋体" w:eastAsia="宋体" w:cs="宋体"/>
          <w:snapToGrid w:val="0"/>
          <w:kern w:val="0"/>
          <w:sz w:val="22"/>
          <w:szCs w:val="21"/>
          <w:highlight w:val="none"/>
          <w:lang w:bidi="en-US"/>
        </w:rPr>
        <w:t>阅读并知悉以上要求，我单位承诺将严格按照上述要求进行项目服务。若有违反，将承担全部责任。</w:t>
      </w:r>
    </w:p>
    <w:p w14:paraId="0EC669C2">
      <w:pPr>
        <w:spacing w:line="360" w:lineRule="auto"/>
        <w:ind w:firstLine="330" w:firstLineChars="150"/>
        <w:jc w:val="center"/>
        <w:rPr>
          <w:rFonts w:hint="eastAsia" w:ascii="宋体" w:hAnsi="宋体" w:eastAsia="宋体" w:cs="宋体"/>
          <w:snapToGrid w:val="0"/>
          <w:kern w:val="0"/>
          <w:sz w:val="22"/>
          <w:szCs w:val="21"/>
          <w:highlight w:val="none"/>
          <w:lang w:bidi="en-US"/>
        </w:rPr>
      </w:pPr>
      <w:r>
        <w:rPr>
          <w:rFonts w:hint="eastAsia" w:ascii="宋体" w:hAnsi="宋体" w:eastAsia="宋体" w:cs="宋体"/>
          <w:snapToGrid w:val="0"/>
          <w:kern w:val="0"/>
          <w:sz w:val="22"/>
          <w:szCs w:val="21"/>
          <w:highlight w:val="none"/>
          <w:lang w:bidi="en-US"/>
        </w:rPr>
        <w:t>供应商：</w:t>
      </w:r>
      <w:r>
        <w:rPr>
          <w:rFonts w:hint="eastAsia" w:ascii="宋体" w:hAnsi="宋体" w:eastAsia="宋体" w:cs="宋体"/>
          <w:snapToGrid w:val="0"/>
          <w:kern w:val="0"/>
          <w:sz w:val="22"/>
          <w:szCs w:val="21"/>
          <w:highlight w:val="none"/>
          <w:u w:val="single"/>
          <w:lang w:bidi="en-US"/>
        </w:rPr>
        <w:t xml:space="preserve">                  </w:t>
      </w:r>
      <w:r>
        <w:rPr>
          <w:rFonts w:hint="eastAsia" w:ascii="宋体" w:hAnsi="宋体" w:eastAsia="宋体" w:cs="宋体"/>
          <w:snapToGrid w:val="0"/>
          <w:kern w:val="0"/>
          <w:sz w:val="22"/>
          <w:szCs w:val="21"/>
          <w:highlight w:val="none"/>
          <w:lang w:bidi="en-US"/>
        </w:rPr>
        <w:t>（盖章）</w:t>
      </w:r>
    </w:p>
    <w:p w14:paraId="5FA41314">
      <w:pPr>
        <w:spacing w:line="360" w:lineRule="auto"/>
        <w:ind w:firstLine="1320" w:firstLineChars="600"/>
        <w:jc w:val="center"/>
        <w:rPr>
          <w:rFonts w:hint="eastAsia" w:ascii="宋体" w:hAnsi="宋体" w:eastAsia="宋体" w:cs="宋体"/>
          <w:b/>
          <w:snapToGrid w:val="0"/>
          <w:color w:val="auto"/>
          <w:sz w:val="36"/>
          <w:highlight w:val="none"/>
          <w:lang w:bidi="en-US"/>
        </w:rPr>
      </w:pPr>
      <w:r>
        <w:rPr>
          <w:rFonts w:hint="eastAsia" w:ascii="宋体" w:hAnsi="宋体" w:eastAsia="宋体" w:cs="宋体"/>
          <w:snapToGrid w:val="0"/>
          <w:kern w:val="0"/>
          <w:sz w:val="22"/>
          <w:szCs w:val="21"/>
          <w:highlight w:val="none"/>
          <w:u w:val="single"/>
          <w:lang w:bidi="en-US"/>
        </w:rPr>
        <w:t xml:space="preserve">    </w:t>
      </w:r>
      <w:r>
        <w:rPr>
          <w:rFonts w:hint="eastAsia" w:ascii="宋体" w:hAnsi="宋体" w:eastAsia="宋体" w:cs="宋体"/>
          <w:snapToGrid w:val="0"/>
          <w:kern w:val="0"/>
          <w:sz w:val="22"/>
          <w:szCs w:val="21"/>
          <w:highlight w:val="none"/>
          <w:u w:val="none"/>
          <w:lang w:bidi="en-US"/>
        </w:rPr>
        <w:t>年</w:t>
      </w:r>
      <w:r>
        <w:rPr>
          <w:rFonts w:hint="eastAsia" w:ascii="宋体" w:hAnsi="宋体" w:eastAsia="宋体" w:cs="宋体"/>
          <w:snapToGrid w:val="0"/>
          <w:kern w:val="0"/>
          <w:sz w:val="22"/>
          <w:szCs w:val="21"/>
          <w:highlight w:val="none"/>
          <w:u w:val="single"/>
          <w:lang w:bidi="en-US"/>
        </w:rPr>
        <w:t xml:space="preserve">    </w:t>
      </w:r>
      <w:r>
        <w:rPr>
          <w:rFonts w:hint="eastAsia" w:ascii="宋体" w:hAnsi="宋体" w:eastAsia="宋体" w:cs="宋体"/>
          <w:snapToGrid w:val="0"/>
          <w:kern w:val="0"/>
          <w:sz w:val="22"/>
          <w:szCs w:val="21"/>
          <w:highlight w:val="none"/>
          <w:u w:val="none"/>
          <w:lang w:bidi="en-US"/>
        </w:rPr>
        <w:t>月</w:t>
      </w:r>
      <w:r>
        <w:rPr>
          <w:rFonts w:hint="eastAsia" w:ascii="宋体" w:hAnsi="宋体" w:eastAsia="宋体" w:cs="宋体"/>
          <w:snapToGrid w:val="0"/>
          <w:kern w:val="0"/>
          <w:sz w:val="22"/>
          <w:szCs w:val="21"/>
          <w:highlight w:val="none"/>
          <w:u w:val="single"/>
          <w:lang w:bidi="en-US"/>
        </w:rPr>
        <w:t xml:space="preserve">     </w:t>
      </w:r>
      <w:r>
        <w:rPr>
          <w:rFonts w:hint="eastAsia" w:ascii="宋体" w:hAnsi="宋体" w:eastAsia="宋体" w:cs="宋体"/>
          <w:snapToGrid w:val="0"/>
          <w:kern w:val="0"/>
          <w:sz w:val="22"/>
          <w:szCs w:val="21"/>
          <w:highlight w:val="none"/>
          <w:u w:val="none"/>
          <w:lang w:bidi="en-US"/>
        </w:rPr>
        <w:t>日</w:t>
      </w:r>
    </w:p>
    <w:p w14:paraId="0B6F2EB4">
      <w:pPr>
        <w:widowControl/>
        <w:jc w:val="left"/>
        <w:rPr>
          <w:rFonts w:hint="eastAsia" w:ascii="宋体" w:hAnsi="宋体" w:eastAsia="宋体" w:cs="宋体"/>
          <w:b/>
          <w:bCs/>
          <w:snapToGrid w:val="0"/>
          <w:color w:val="auto"/>
          <w:kern w:val="0"/>
          <w:sz w:val="24"/>
          <w:highlight w:val="none"/>
          <w:lang w:val="en-US" w:eastAsia="zh-CN" w:bidi="en-US"/>
        </w:rPr>
      </w:pPr>
      <w:r>
        <w:rPr>
          <w:rFonts w:hint="eastAsia" w:ascii="宋体" w:hAnsi="宋体" w:eastAsia="宋体" w:cs="宋体"/>
          <w:b/>
          <w:bCs/>
          <w:color w:val="auto"/>
          <w:szCs w:val="21"/>
          <w:highlight w:val="none"/>
          <w:lang w:bidi="ar"/>
        </w:rPr>
        <w:br w:type="page"/>
      </w:r>
      <w:r>
        <w:rPr>
          <w:rFonts w:hint="eastAsia" w:ascii="宋体" w:hAnsi="宋体" w:eastAsia="宋体" w:cs="宋体"/>
          <w:b/>
          <w:bCs/>
          <w:snapToGrid w:val="0"/>
          <w:color w:val="auto"/>
          <w:kern w:val="0"/>
          <w:sz w:val="24"/>
          <w:highlight w:val="none"/>
          <w:lang w:bidi="en-US"/>
        </w:rPr>
        <w:t>附件</w:t>
      </w:r>
      <w:r>
        <w:rPr>
          <w:rFonts w:hint="eastAsia" w:ascii="宋体" w:hAnsi="宋体" w:eastAsia="宋体" w:cs="宋体"/>
          <w:b/>
          <w:bCs/>
          <w:snapToGrid w:val="0"/>
          <w:color w:val="auto"/>
          <w:kern w:val="0"/>
          <w:sz w:val="24"/>
          <w:highlight w:val="none"/>
          <w:lang w:val="en-US" w:eastAsia="zh-CN" w:bidi="en-US"/>
        </w:rPr>
        <w:t>10：</w:t>
      </w:r>
    </w:p>
    <w:p w14:paraId="7B7E7D1F">
      <w:pPr>
        <w:snapToGrid w:val="0"/>
        <w:spacing w:line="360" w:lineRule="auto"/>
        <w:jc w:val="center"/>
        <w:rPr>
          <w:rFonts w:hint="eastAsia" w:ascii="宋体" w:hAnsi="宋体" w:eastAsia="宋体" w:cs="宋体"/>
          <w:b/>
          <w:snapToGrid w:val="0"/>
          <w:color w:val="auto"/>
          <w:sz w:val="28"/>
          <w:szCs w:val="20"/>
          <w:highlight w:val="none"/>
          <w:lang w:val="en-US" w:eastAsia="zh-CN" w:bidi="en-US"/>
        </w:rPr>
      </w:pPr>
      <w:r>
        <w:rPr>
          <w:rFonts w:hint="eastAsia" w:ascii="宋体" w:hAnsi="宋体" w:eastAsia="宋体" w:cs="宋体"/>
          <w:b/>
          <w:snapToGrid w:val="0"/>
          <w:color w:val="auto"/>
          <w:sz w:val="28"/>
          <w:szCs w:val="20"/>
          <w:highlight w:val="none"/>
          <w:lang w:val="en-US" w:eastAsia="zh-CN" w:bidi="en-US"/>
        </w:rPr>
        <w:t>中粮粮谷面粉（采购包74）响应承诺函</w:t>
      </w:r>
    </w:p>
    <w:p w14:paraId="39459412">
      <w:pPr>
        <w:snapToGrid w:val="0"/>
        <w:spacing w:line="360" w:lineRule="auto"/>
        <w:rPr>
          <w:rFonts w:hint="eastAsia" w:ascii="宋体" w:hAnsi="宋体" w:eastAsia="宋体" w:cs="宋体"/>
          <w:color w:val="auto"/>
          <w:sz w:val="24"/>
          <w:szCs w:val="21"/>
          <w:highlight w:val="none"/>
          <w:u w:val="single"/>
          <w:lang w:bidi="en-US"/>
        </w:rPr>
      </w:pPr>
      <w:r>
        <w:rPr>
          <w:rFonts w:hint="eastAsia" w:ascii="宋体" w:hAnsi="宋体" w:eastAsia="宋体" w:cs="宋体"/>
          <w:snapToGrid w:val="0"/>
          <w:color w:val="auto"/>
          <w:kern w:val="0"/>
          <w:sz w:val="24"/>
          <w:szCs w:val="21"/>
          <w:highlight w:val="none"/>
          <w:lang w:bidi="en-US"/>
        </w:rPr>
        <w:t>致：</w:t>
      </w:r>
      <w:r>
        <w:rPr>
          <w:rFonts w:hint="eastAsia" w:ascii="宋体" w:hAnsi="宋体" w:eastAsia="宋体" w:cs="宋体"/>
          <w:color w:val="auto"/>
          <w:sz w:val="24"/>
          <w:highlight w:val="none"/>
          <w:u w:val="single"/>
        </w:rPr>
        <w:t>中粮集团有限公司</w:t>
      </w:r>
    </w:p>
    <w:p w14:paraId="34236C86">
      <w:pPr>
        <w:snapToGrid w:val="0"/>
        <w:spacing w:line="360" w:lineRule="auto"/>
        <w:rPr>
          <w:rFonts w:hint="eastAsia" w:ascii="宋体" w:hAnsi="宋体" w:eastAsia="宋体" w:cs="宋体"/>
          <w:color w:val="auto"/>
          <w:sz w:val="24"/>
          <w:szCs w:val="21"/>
          <w:highlight w:val="none"/>
          <w:lang w:bidi="en-US"/>
        </w:rPr>
      </w:pPr>
      <w:r>
        <w:rPr>
          <w:rFonts w:hint="eastAsia" w:ascii="宋体" w:hAnsi="宋体" w:eastAsia="宋体" w:cs="宋体"/>
          <w:color w:val="auto"/>
          <w:sz w:val="24"/>
          <w:szCs w:val="21"/>
          <w:highlight w:val="none"/>
          <w:lang w:bidi="en-US"/>
        </w:rPr>
        <w:t xml:space="preserve">    </w:t>
      </w:r>
      <w:r>
        <w:rPr>
          <w:rFonts w:hint="eastAsia" w:ascii="宋体" w:hAnsi="宋体" w:eastAsia="宋体" w:cs="宋体"/>
          <w:color w:val="auto"/>
          <w:sz w:val="24"/>
          <w:szCs w:val="21"/>
          <w:highlight w:val="none"/>
          <w:u w:val="single"/>
          <w:lang w:bidi="en-US"/>
        </w:rPr>
        <w:t>安徽省招标集团股份有限公司</w:t>
      </w:r>
    </w:p>
    <w:p w14:paraId="23BEC8A5">
      <w:pPr>
        <w:snapToGrid w:val="0"/>
        <w:spacing w:line="360" w:lineRule="auto"/>
        <w:ind w:firstLine="660"/>
        <w:rPr>
          <w:rFonts w:hint="eastAsia" w:ascii="宋体" w:hAnsi="宋体" w:eastAsia="宋体" w:cs="宋体"/>
          <w:snapToGrid w:val="0"/>
          <w:color w:val="auto"/>
          <w:kern w:val="0"/>
          <w:sz w:val="24"/>
          <w:szCs w:val="21"/>
          <w:highlight w:val="none"/>
          <w:lang w:bidi="en-US"/>
        </w:rPr>
      </w:pPr>
    </w:p>
    <w:p w14:paraId="4C8D4CEA">
      <w:pPr>
        <w:snapToGrid w:val="0"/>
        <w:spacing w:line="360" w:lineRule="auto"/>
        <w:ind w:firstLine="360" w:firstLineChars="150"/>
        <w:rPr>
          <w:rFonts w:hint="eastAsia" w:ascii="宋体" w:hAnsi="宋体" w:eastAsia="宋体" w:cs="宋体"/>
          <w:sz w:val="24"/>
          <w:szCs w:val="24"/>
          <w:highlight w:val="none"/>
        </w:rPr>
      </w:pPr>
      <w:r>
        <w:rPr>
          <w:rFonts w:hint="eastAsia" w:ascii="宋体" w:hAnsi="宋体" w:eastAsia="宋体" w:cs="宋体"/>
          <w:sz w:val="24"/>
          <w:szCs w:val="24"/>
          <w:highlight w:val="none"/>
        </w:rPr>
        <w:t>若本单位成为本采购包成交供应商，本单位将严格按照采购人要求及采购文件约定，全面、规范开展运输服务工作，严格履行合同义务，如未按要求执行，自愿承担相应违约责任及一切法律后果。</w:t>
      </w:r>
    </w:p>
    <w:p w14:paraId="2A5E7226">
      <w:pPr>
        <w:snapToGrid w:val="0"/>
        <w:spacing w:line="360" w:lineRule="auto"/>
        <w:ind w:firstLine="360" w:firstLineChars="15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1.本单位承诺：针对本采购包联运线路，具备相应铁路运输资源，可满足项目铁路运力、时效及安全保障要求</w:t>
      </w:r>
      <w:r>
        <w:rPr>
          <w:rFonts w:hint="eastAsia" w:ascii="宋体" w:hAnsi="宋体" w:eastAsia="宋体" w:cs="宋体"/>
          <w:sz w:val="24"/>
          <w:szCs w:val="24"/>
          <w:highlight w:val="none"/>
          <w:lang w:eastAsia="zh-CN"/>
        </w:rPr>
        <w:t>。</w:t>
      </w:r>
    </w:p>
    <w:p w14:paraId="6743F5C8">
      <w:pPr>
        <w:snapToGrid w:val="0"/>
        <w:spacing w:line="360" w:lineRule="auto"/>
        <w:ind w:firstLine="360" w:firstLineChars="150"/>
        <w:rPr>
          <w:rFonts w:hint="eastAsia" w:ascii="宋体" w:hAnsi="宋体" w:eastAsia="宋体" w:cs="宋体"/>
          <w:sz w:val="24"/>
          <w:szCs w:val="24"/>
          <w:highlight w:val="none"/>
        </w:rPr>
      </w:pPr>
      <w:r>
        <w:rPr>
          <w:rFonts w:hint="eastAsia" w:ascii="宋体" w:hAnsi="宋体" w:eastAsia="宋体" w:cs="宋体"/>
          <w:sz w:val="24"/>
          <w:szCs w:val="24"/>
          <w:highlight w:val="none"/>
        </w:rPr>
        <w:t>2.本单位承诺：积极配合</w:t>
      </w:r>
      <w:r>
        <w:rPr>
          <w:rFonts w:hint="eastAsia" w:ascii="宋体" w:hAnsi="宋体" w:eastAsia="宋体" w:cs="宋体"/>
          <w:sz w:val="24"/>
          <w:szCs w:val="24"/>
          <w:highlight w:val="none"/>
          <w:lang w:val="en-US" w:eastAsia="zh-CN"/>
        </w:rPr>
        <w:t>采购人相关清关</w:t>
      </w:r>
      <w:r>
        <w:rPr>
          <w:rFonts w:hint="eastAsia" w:ascii="宋体" w:hAnsi="宋体" w:eastAsia="宋体" w:cs="宋体"/>
          <w:sz w:val="24"/>
          <w:szCs w:val="24"/>
          <w:highlight w:val="none"/>
        </w:rPr>
        <w:t>相关手续，确保手续合法合规、及时办结</w:t>
      </w:r>
      <w:r>
        <w:rPr>
          <w:rFonts w:hint="eastAsia" w:ascii="宋体" w:hAnsi="宋体" w:eastAsia="宋体" w:cs="宋体"/>
          <w:sz w:val="24"/>
          <w:szCs w:val="24"/>
          <w:highlight w:val="none"/>
          <w:lang w:eastAsia="zh-CN"/>
        </w:rPr>
        <w:t>。</w:t>
      </w:r>
    </w:p>
    <w:p w14:paraId="1031DE2B">
      <w:pPr>
        <w:snapToGrid w:val="0"/>
        <w:spacing w:line="360" w:lineRule="auto"/>
        <w:ind w:firstLine="360" w:firstLineChars="15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3.本单位承诺：具备请铁路集装箱+汽运短倒相关运输经验，能够安全、高效完成全程联运及短倒运输作业。</w:t>
      </w:r>
    </w:p>
    <w:p w14:paraId="434FD2B0">
      <w:pPr>
        <w:snapToGrid w:val="0"/>
        <w:spacing w:line="360" w:lineRule="auto"/>
        <w:ind w:firstLine="360" w:firstLineChars="15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本单位已充分知晓并理解本采购包全部要求，上述承诺内容真实、有效、无虚假，若存在隐瞒、伪造或不实情况，本单位自愿承担相应法律责任，并接受采购人依照相关规定作出的处理。</w:t>
      </w:r>
    </w:p>
    <w:p w14:paraId="0254BFA7">
      <w:pPr>
        <w:snapToGrid w:val="0"/>
        <w:spacing w:line="360" w:lineRule="auto"/>
        <w:ind w:right="24" w:firstLine="480" w:firstLineChars="200"/>
        <w:jc w:val="righ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供应商：</w:t>
      </w:r>
      <w:r>
        <w:rPr>
          <w:rFonts w:hint="eastAsia" w:ascii="宋体" w:hAnsi="宋体" w:eastAsia="宋体" w:cs="宋体"/>
          <w:snapToGrid w:val="0"/>
          <w:color w:val="auto"/>
          <w:sz w:val="24"/>
          <w:szCs w:val="21"/>
          <w:highlight w:val="none"/>
          <w:u w:val="single"/>
        </w:rPr>
        <w:t xml:space="preserve">                  （盖章）</w:t>
      </w:r>
    </w:p>
    <w:p w14:paraId="24FE8F2B">
      <w:pPr>
        <w:snapToGrid w:val="0"/>
        <w:spacing w:line="360" w:lineRule="auto"/>
        <w:ind w:left="420" w:leftChars="200" w:firstLine="480" w:firstLineChars="200"/>
        <w:jc w:val="right"/>
        <w:rPr>
          <w:rFonts w:hint="eastAsia" w:ascii="宋体" w:hAnsi="宋体" w:eastAsia="宋体" w:cs="宋体"/>
          <w:snapToGrid w:val="0"/>
          <w:color w:val="auto"/>
          <w:kern w:val="0"/>
          <w:sz w:val="24"/>
          <w:szCs w:val="21"/>
          <w:highlight w:val="none"/>
        </w:rPr>
      </w:pPr>
      <w:r>
        <w:rPr>
          <w:rFonts w:hint="eastAsia" w:ascii="宋体" w:hAnsi="宋体" w:eastAsia="宋体" w:cs="宋体"/>
          <w:snapToGrid w:val="0"/>
          <w:color w:val="auto"/>
          <w:sz w:val="24"/>
          <w:szCs w:val="21"/>
          <w:highlight w:val="none"/>
          <w:u w:val="single"/>
        </w:rPr>
        <w:t xml:space="preserve">   </w:t>
      </w:r>
      <w:r>
        <w:rPr>
          <w:rFonts w:hint="eastAsia" w:ascii="宋体" w:hAnsi="宋体" w:eastAsia="宋体" w:cs="宋体"/>
          <w:snapToGrid w:val="0"/>
          <w:color w:val="auto"/>
          <w:kern w:val="0"/>
          <w:sz w:val="24"/>
          <w:szCs w:val="21"/>
          <w:highlight w:val="none"/>
          <w:u w:val="single"/>
        </w:rPr>
        <w:t xml:space="preserve">  </w:t>
      </w:r>
      <w:r>
        <w:rPr>
          <w:rFonts w:hint="eastAsia" w:ascii="宋体" w:hAnsi="宋体" w:eastAsia="宋体" w:cs="宋体"/>
          <w:snapToGrid w:val="0"/>
          <w:color w:val="auto"/>
          <w:kern w:val="0"/>
          <w:sz w:val="24"/>
          <w:szCs w:val="21"/>
          <w:highlight w:val="none"/>
        </w:rPr>
        <w:t>年</w:t>
      </w:r>
      <w:r>
        <w:rPr>
          <w:rFonts w:hint="eastAsia" w:ascii="宋体" w:hAnsi="宋体" w:eastAsia="宋体" w:cs="宋体"/>
          <w:snapToGrid w:val="0"/>
          <w:color w:val="auto"/>
          <w:sz w:val="24"/>
          <w:szCs w:val="21"/>
          <w:highlight w:val="none"/>
          <w:u w:val="single"/>
        </w:rPr>
        <w:t xml:space="preserve">   </w:t>
      </w:r>
      <w:r>
        <w:rPr>
          <w:rFonts w:hint="eastAsia" w:ascii="宋体" w:hAnsi="宋体" w:eastAsia="宋体" w:cs="宋体"/>
          <w:snapToGrid w:val="0"/>
          <w:color w:val="auto"/>
          <w:kern w:val="0"/>
          <w:sz w:val="24"/>
          <w:szCs w:val="21"/>
          <w:highlight w:val="none"/>
          <w:u w:val="single"/>
        </w:rPr>
        <w:t xml:space="preserve">  </w:t>
      </w:r>
      <w:r>
        <w:rPr>
          <w:rFonts w:hint="eastAsia" w:ascii="宋体" w:hAnsi="宋体" w:eastAsia="宋体" w:cs="宋体"/>
          <w:snapToGrid w:val="0"/>
          <w:color w:val="auto"/>
          <w:kern w:val="0"/>
          <w:sz w:val="24"/>
          <w:szCs w:val="21"/>
          <w:highlight w:val="none"/>
        </w:rPr>
        <w:t>月</w:t>
      </w:r>
      <w:r>
        <w:rPr>
          <w:rFonts w:hint="eastAsia" w:ascii="宋体" w:hAnsi="宋体" w:eastAsia="宋体" w:cs="宋体"/>
          <w:snapToGrid w:val="0"/>
          <w:color w:val="auto"/>
          <w:sz w:val="24"/>
          <w:szCs w:val="21"/>
          <w:highlight w:val="none"/>
          <w:u w:val="single"/>
        </w:rPr>
        <w:t xml:space="preserve">   </w:t>
      </w:r>
      <w:r>
        <w:rPr>
          <w:rFonts w:hint="eastAsia" w:ascii="宋体" w:hAnsi="宋体" w:eastAsia="宋体" w:cs="宋体"/>
          <w:snapToGrid w:val="0"/>
          <w:color w:val="auto"/>
          <w:kern w:val="0"/>
          <w:sz w:val="24"/>
          <w:szCs w:val="21"/>
          <w:highlight w:val="none"/>
          <w:u w:val="single"/>
        </w:rPr>
        <w:t xml:space="preserve">  </w:t>
      </w:r>
      <w:r>
        <w:rPr>
          <w:rFonts w:hint="eastAsia" w:ascii="宋体" w:hAnsi="宋体" w:eastAsia="宋体" w:cs="宋体"/>
          <w:snapToGrid w:val="0"/>
          <w:color w:val="auto"/>
          <w:kern w:val="0"/>
          <w:sz w:val="24"/>
          <w:szCs w:val="21"/>
          <w:highlight w:val="none"/>
        </w:rPr>
        <w:t>日</w:t>
      </w:r>
    </w:p>
    <w:p w14:paraId="43EBA686">
      <w:pPr>
        <w:snapToGrid w:val="0"/>
        <w:spacing w:line="360" w:lineRule="auto"/>
        <w:rPr>
          <w:rFonts w:hint="eastAsia" w:ascii="宋体" w:hAnsi="宋体" w:eastAsia="宋体" w:cs="宋体"/>
          <w:b/>
          <w:bCs/>
          <w:snapToGrid w:val="0"/>
          <w:color w:val="auto"/>
          <w:kern w:val="0"/>
          <w:sz w:val="24"/>
          <w:highlight w:val="none"/>
          <w:lang w:val="en-US" w:eastAsia="zh-CN" w:bidi="en-US"/>
        </w:rPr>
      </w:pPr>
      <w:r>
        <w:rPr>
          <w:rFonts w:hint="eastAsia" w:ascii="宋体" w:hAnsi="宋体" w:eastAsia="宋体" w:cs="宋体"/>
          <w:snapToGrid w:val="0"/>
          <w:color w:val="auto"/>
          <w:kern w:val="0"/>
          <w:sz w:val="24"/>
          <w:szCs w:val="21"/>
          <w:highlight w:val="none"/>
          <w:lang w:val="en-US" w:eastAsia="zh-CN"/>
        </w:rPr>
        <w:br w:type="page"/>
      </w:r>
      <w:r>
        <w:rPr>
          <w:rFonts w:hint="eastAsia" w:ascii="宋体" w:hAnsi="宋体" w:eastAsia="宋体" w:cs="宋体"/>
          <w:b/>
          <w:bCs/>
          <w:snapToGrid w:val="0"/>
          <w:color w:val="auto"/>
          <w:kern w:val="0"/>
          <w:sz w:val="24"/>
          <w:highlight w:val="none"/>
          <w:lang w:bidi="en-US"/>
        </w:rPr>
        <w:t>附件</w:t>
      </w:r>
      <w:r>
        <w:rPr>
          <w:rFonts w:hint="eastAsia" w:ascii="宋体" w:hAnsi="宋体" w:eastAsia="宋体" w:cs="宋体"/>
          <w:b/>
          <w:bCs/>
          <w:snapToGrid w:val="0"/>
          <w:color w:val="auto"/>
          <w:kern w:val="0"/>
          <w:sz w:val="24"/>
          <w:highlight w:val="none"/>
          <w:lang w:val="en-US" w:eastAsia="zh-CN" w:bidi="en-US"/>
        </w:rPr>
        <w:t>11：</w:t>
      </w:r>
    </w:p>
    <w:p w14:paraId="7A47527E">
      <w:pPr>
        <w:snapToGrid w:val="0"/>
        <w:spacing w:line="360" w:lineRule="auto"/>
        <w:jc w:val="center"/>
        <w:rPr>
          <w:rFonts w:hint="eastAsia" w:ascii="宋体" w:hAnsi="宋体" w:eastAsia="宋体" w:cs="宋体"/>
          <w:b/>
          <w:snapToGrid w:val="0"/>
          <w:color w:val="auto"/>
          <w:sz w:val="28"/>
          <w:szCs w:val="20"/>
          <w:highlight w:val="none"/>
          <w:lang w:val="en-US" w:eastAsia="zh-CN" w:bidi="en-US"/>
        </w:rPr>
      </w:pPr>
      <w:r>
        <w:rPr>
          <w:rFonts w:hint="eastAsia" w:ascii="宋体" w:hAnsi="宋体" w:eastAsia="宋体" w:cs="宋体"/>
          <w:b/>
          <w:snapToGrid w:val="0"/>
          <w:color w:val="auto"/>
          <w:sz w:val="28"/>
          <w:szCs w:val="20"/>
          <w:highlight w:val="none"/>
          <w:lang w:val="en-US" w:eastAsia="zh-CN" w:bidi="en-US"/>
        </w:rPr>
        <w:t>中粮粮谷面粉（采购包71-散粉）响应承诺函</w:t>
      </w:r>
    </w:p>
    <w:p w14:paraId="5F67801E">
      <w:pPr>
        <w:snapToGrid w:val="0"/>
        <w:spacing w:line="360" w:lineRule="auto"/>
        <w:rPr>
          <w:rFonts w:hint="eastAsia" w:ascii="宋体" w:hAnsi="宋体" w:eastAsia="宋体" w:cs="宋体"/>
          <w:color w:val="auto"/>
          <w:sz w:val="24"/>
          <w:szCs w:val="21"/>
          <w:highlight w:val="none"/>
          <w:u w:val="single"/>
          <w:lang w:bidi="en-US"/>
        </w:rPr>
      </w:pPr>
      <w:r>
        <w:rPr>
          <w:rFonts w:hint="eastAsia" w:ascii="宋体" w:hAnsi="宋体" w:eastAsia="宋体" w:cs="宋体"/>
          <w:snapToGrid w:val="0"/>
          <w:color w:val="auto"/>
          <w:kern w:val="0"/>
          <w:sz w:val="24"/>
          <w:szCs w:val="21"/>
          <w:highlight w:val="none"/>
          <w:lang w:bidi="en-US"/>
        </w:rPr>
        <w:t>致：</w:t>
      </w:r>
      <w:r>
        <w:rPr>
          <w:rFonts w:hint="eastAsia" w:ascii="宋体" w:hAnsi="宋体" w:eastAsia="宋体" w:cs="宋体"/>
          <w:color w:val="auto"/>
          <w:sz w:val="24"/>
          <w:highlight w:val="none"/>
          <w:u w:val="single"/>
        </w:rPr>
        <w:t>中粮集团有限公司</w:t>
      </w:r>
    </w:p>
    <w:p w14:paraId="10D3289F">
      <w:pPr>
        <w:snapToGrid w:val="0"/>
        <w:spacing w:line="360" w:lineRule="auto"/>
        <w:rPr>
          <w:rFonts w:hint="eastAsia" w:ascii="宋体" w:hAnsi="宋体" w:eastAsia="宋体" w:cs="宋体"/>
          <w:color w:val="auto"/>
          <w:sz w:val="24"/>
          <w:szCs w:val="21"/>
          <w:highlight w:val="none"/>
          <w:lang w:bidi="en-US"/>
        </w:rPr>
      </w:pPr>
      <w:r>
        <w:rPr>
          <w:rFonts w:hint="eastAsia" w:ascii="宋体" w:hAnsi="宋体" w:eastAsia="宋体" w:cs="宋体"/>
          <w:color w:val="auto"/>
          <w:sz w:val="24"/>
          <w:szCs w:val="21"/>
          <w:highlight w:val="none"/>
          <w:lang w:bidi="en-US"/>
        </w:rPr>
        <w:t xml:space="preserve">    </w:t>
      </w:r>
      <w:r>
        <w:rPr>
          <w:rFonts w:hint="eastAsia" w:ascii="宋体" w:hAnsi="宋体" w:eastAsia="宋体" w:cs="宋体"/>
          <w:color w:val="auto"/>
          <w:sz w:val="24"/>
          <w:szCs w:val="21"/>
          <w:highlight w:val="none"/>
          <w:u w:val="single"/>
          <w:lang w:bidi="en-US"/>
        </w:rPr>
        <w:t>安徽省招标集团股份有限公司</w:t>
      </w:r>
    </w:p>
    <w:p w14:paraId="61DF784F">
      <w:pPr>
        <w:snapToGrid w:val="0"/>
        <w:spacing w:line="360" w:lineRule="auto"/>
        <w:ind w:firstLine="360" w:firstLineChars="150"/>
        <w:rPr>
          <w:rFonts w:hint="eastAsia" w:ascii="宋体" w:hAnsi="宋体" w:eastAsia="宋体" w:cs="宋体"/>
          <w:sz w:val="24"/>
          <w:szCs w:val="24"/>
          <w:highlight w:val="none"/>
        </w:rPr>
      </w:pPr>
      <w:r>
        <w:rPr>
          <w:rFonts w:hint="eastAsia" w:ascii="宋体" w:hAnsi="宋体" w:eastAsia="宋体" w:cs="宋体"/>
          <w:sz w:val="24"/>
          <w:szCs w:val="24"/>
          <w:highlight w:val="none"/>
        </w:rPr>
        <w:t>若本单位成为本采购包成交供应商，本单位将严格按照采购人要求及采购文件约定，全面、规范开展运输服务工作，严格履行合同义务，如未按要求执行，自愿承担相应违约责任及一切法律后果。</w:t>
      </w:r>
    </w:p>
    <w:p w14:paraId="546163AA">
      <w:pPr>
        <w:snapToGrid w:val="0"/>
        <w:spacing w:line="360" w:lineRule="auto"/>
        <w:ind w:firstLine="360" w:firstLineChars="15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1.提供散粉运输的车辆为装载食品及食品原料的专用容器，不得使用非食品、非食品原料容器的运输工具，不得与非食品、非食品原料容器的其他运输工具混用、混装。</w:t>
      </w:r>
    </w:p>
    <w:p w14:paraId="752FB890">
      <w:pPr>
        <w:snapToGrid w:val="0"/>
        <w:spacing w:line="360" w:lineRule="auto"/>
        <w:ind w:firstLine="360" w:firstLineChars="15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2.满足装车前入厂核查机制，罐体、罐内、罐盖、出粉口、打粉软管、空压机滤芯、车辆空吹均符合公司要求即可装车；</w:t>
      </w:r>
    </w:p>
    <w:p w14:paraId="4DF7BDE1">
      <w:pPr>
        <w:snapToGrid w:val="0"/>
        <w:spacing w:line="360" w:lineRule="auto"/>
        <w:ind w:firstLine="360" w:firstLineChars="15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3.定期安排散粉罐车清罐并提供清罐证明；</w:t>
      </w:r>
    </w:p>
    <w:p w14:paraId="2D0FE8BA">
      <w:pPr>
        <w:snapToGrid w:val="0"/>
        <w:spacing w:line="360" w:lineRule="auto"/>
        <w:ind w:firstLine="360" w:firstLineChars="15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4.成交后提供前三载证明，同时须确保运输车辆GPS单独做专项业务管理（并可支持查询三个月以内的行驶轨迹），承运方有管理和保密义务，若无合同签订的甲方授权，严禁向第三方泄露相关记录信息。</w:t>
      </w:r>
    </w:p>
    <w:p w14:paraId="137B88BF">
      <w:pPr>
        <w:snapToGrid w:val="0"/>
        <w:spacing w:line="360" w:lineRule="auto"/>
        <w:ind w:firstLine="360" w:firstLineChars="15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本单位已充分知晓并理解</w:t>
      </w:r>
      <w:r>
        <w:rPr>
          <w:rFonts w:hint="eastAsia" w:ascii="宋体" w:hAnsi="宋体" w:eastAsia="宋体" w:cs="宋体"/>
          <w:sz w:val="24"/>
          <w:szCs w:val="24"/>
          <w:highlight w:val="none"/>
          <w:lang w:val="en-US" w:eastAsia="zh-CN"/>
        </w:rPr>
        <w:t>以上全部</w:t>
      </w:r>
      <w:r>
        <w:rPr>
          <w:rFonts w:hint="eastAsia" w:ascii="宋体" w:hAnsi="宋体" w:eastAsia="宋体" w:cs="宋体"/>
          <w:sz w:val="24"/>
          <w:szCs w:val="24"/>
          <w:highlight w:val="none"/>
        </w:rPr>
        <w:t>要求，上述承诺内容真实、有效、无虚假，若存在隐瞒、伪造或不实情况，本单位自愿承担相应法律责任，并接受采购人依照相关规定作出的处理。</w:t>
      </w:r>
    </w:p>
    <w:p w14:paraId="24A6C6AC">
      <w:pPr>
        <w:snapToGrid w:val="0"/>
        <w:spacing w:line="360" w:lineRule="auto"/>
        <w:ind w:right="24" w:firstLine="480" w:firstLineChars="200"/>
        <w:jc w:val="righ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供应商：</w:t>
      </w:r>
      <w:r>
        <w:rPr>
          <w:rFonts w:hint="eastAsia" w:ascii="宋体" w:hAnsi="宋体" w:eastAsia="宋体" w:cs="宋体"/>
          <w:snapToGrid w:val="0"/>
          <w:color w:val="auto"/>
          <w:sz w:val="24"/>
          <w:szCs w:val="21"/>
          <w:highlight w:val="none"/>
          <w:u w:val="single"/>
        </w:rPr>
        <w:t xml:space="preserve">                  （盖章）</w:t>
      </w:r>
    </w:p>
    <w:p w14:paraId="50CDC47E">
      <w:pPr>
        <w:snapToGrid w:val="0"/>
        <w:spacing w:line="360" w:lineRule="auto"/>
        <w:ind w:left="420" w:leftChars="200" w:firstLine="480" w:firstLineChars="200"/>
        <w:jc w:val="right"/>
        <w:rPr>
          <w:rFonts w:hint="eastAsia" w:ascii="宋体" w:hAnsi="宋体" w:eastAsia="宋体" w:cs="宋体"/>
          <w:snapToGrid w:val="0"/>
          <w:color w:val="auto"/>
          <w:kern w:val="0"/>
          <w:sz w:val="24"/>
          <w:szCs w:val="21"/>
          <w:highlight w:val="none"/>
        </w:rPr>
      </w:pPr>
      <w:r>
        <w:rPr>
          <w:rFonts w:hint="eastAsia" w:ascii="宋体" w:hAnsi="宋体" w:eastAsia="宋体" w:cs="宋体"/>
          <w:snapToGrid w:val="0"/>
          <w:color w:val="auto"/>
          <w:sz w:val="24"/>
          <w:szCs w:val="21"/>
          <w:highlight w:val="none"/>
          <w:u w:val="single"/>
        </w:rPr>
        <w:t xml:space="preserve">   </w:t>
      </w:r>
      <w:r>
        <w:rPr>
          <w:rFonts w:hint="eastAsia" w:ascii="宋体" w:hAnsi="宋体" w:eastAsia="宋体" w:cs="宋体"/>
          <w:snapToGrid w:val="0"/>
          <w:color w:val="auto"/>
          <w:kern w:val="0"/>
          <w:sz w:val="24"/>
          <w:szCs w:val="21"/>
          <w:highlight w:val="none"/>
          <w:u w:val="single"/>
        </w:rPr>
        <w:t xml:space="preserve">  </w:t>
      </w:r>
      <w:r>
        <w:rPr>
          <w:rFonts w:hint="eastAsia" w:ascii="宋体" w:hAnsi="宋体" w:eastAsia="宋体" w:cs="宋体"/>
          <w:snapToGrid w:val="0"/>
          <w:color w:val="auto"/>
          <w:kern w:val="0"/>
          <w:sz w:val="24"/>
          <w:szCs w:val="21"/>
          <w:highlight w:val="none"/>
        </w:rPr>
        <w:t>年</w:t>
      </w:r>
      <w:r>
        <w:rPr>
          <w:rFonts w:hint="eastAsia" w:ascii="宋体" w:hAnsi="宋体" w:eastAsia="宋体" w:cs="宋体"/>
          <w:snapToGrid w:val="0"/>
          <w:color w:val="auto"/>
          <w:sz w:val="24"/>
          <w:szCs w:val="21"/>
          <w:highlight w:val="none"/>
          <w:u w:val="single"/>
        </w:rPr>
        <w:t xml:space="preserve">   </w:t>
      </w:r>
      <w:r>
        <w:rPr>
          <w:rFonts w:hint="eastAsia" w:ascii="宋体" w:hAnsi="宋体" w:eastAsia="宋体" w:cs="宋体"/>
          <w:snapToGrid w:val="0"/>
          <w:color w:val="auto"/>
          <w:kern w:val="0"/>
          <w:sz w:val="24"/>
          <w:szCs w:val="21"/>
          <w:highlight w:val="none"/>
          <w:u w:val="single"/>
        </w:rPr>
        <w:t xml:space="preserve">  </w:t>
      </w:r>
      <w:r>
        <w:rPr>
          <w:rFonts w:hint="eastAsia" w:ascii="宋体" w:hAnsi="宋体" w:eastAsia="宋体" w:cs="宋体"/>
          <w:snapToGrid w:val="0"/>
          <w:color w:val="auto"/>
          <w:kern w:val="0"/>
          <w:sz w:val="24"/>
          <w:szCs w:val="21"/>
          <w:highlight w:val="none"/>
        </w:rPr>
        <w:t>月</w:t>
      </w:r>
      <w:r>
        <w:rPr>
          <w:rFonts w:hint="eastAsia" w:ascii="宋体" w:hAnsi="宋体" w:eastAsia="宋体" w:cs="宋体"/>
          <w:snapToGrid w:val="0"/>
          <w:color w:val="auto"/>
          <w:sz w:val="24"/>
          <w:szCs w:val="21"/>
          <w:highlight w:val="none"/>
          <w:u w:val="single"/>
        </w:rPr>
        <w:t xml:space="preserve">   </w:t>
      </w:r>
      <w:r>
        <w:rPr>
          <w:rFonts w:hint="eastAsia" w:ascii="宋体" w:hAnsi="宋体" w:eastAsia="宋体" w:cs="宋体"/>
          <w:snapToGrid w:val="0"/>
          <w:color w:val="auto"/>
          <w:kern w:val="0"/>
          <w:sz w:val="24"/>
          <w:szCs w:val="21"/>
          <w:highlight w:val="none"/>
          <w:u w:val="single"/>
        </w:rPr>
        <w:t xml:space="preserve">  </w:t>
      </w:r>
      <w:r>
        <w:rPr>
          <w:rFonts w:hint="eastAsia" w:ascii="宋体" w:hAnsi="宋体" w:eastAsia="宋体" w:cs="宋体"/>
          <w:snapToGrid w:val="0"/>
          <w:color w:val="auto"/>
          <w:kern w:val="0"/>
          <w:sz w:val="24"/>
          <w:szCs w:val="21"/>
          <w:highlight w:val="none"/>
        </w:rPr>
        <w:t>日</w:t>
      </w:r>
    </w:p>
    <w:p w14:paraId="271F1A6C">
      <w:pPr>
        <w:snapToGrid w:val="0"/>
        <w:spacing w:line="360" w:lineRule="auto"/>
        <w:ind w:left="0" w:leftChars="0" w:firstLine="0" w:firstLineChars="0"/>
        <w:jc w:val="both"/>
        <w:rPr>
          <w:rFonts w:hint="eastAsia" w:ascii="宋体" w:hAnsi="宋体" w:eastAsia="宋体" w:cs="宋体"/>
          <w:color w:val="auto"/>
          <w:sz w:val="32"/>
          <w:szCs w:val="32"/>
          <w:highlight w:val="none"/>
          <w:lang w:val="en-US" w:eastAsia="zh-CN"/>
        </w:rPr>
      </w:pPr>
    </w:p>
    <w:p w14:paraId="20E75D66">
      <w:pPr>
        <w:snapToGrid w:val="0"/>
        <w:spacing w:line="360" w:lineRule="auto"/>
        <w:rPr>
          <w:rFonts w:hint="eastAsia" w:ascii="宋体" w:hAnsi="宋体" w:eastAsia="宋体" w:cs="宋体"/>
          <w:snapToGrid w:val="0"/>
          <w:color w:val="auto"/>
          <w:kern w:val="0"/>
          <w:sz w:val="24"/>
          <w:highlight w:val="none"/>
          <w:lang w:val="en-US" w:eastAsia="zh-CN" w:bidi="en-US"/>
        </w:rPr>
      </w:pPr>
      <w:r>
        <w:rPr>
          <w:rFonts w:hint="eastAsia" w:ascii="宋体" w:hAnsi="宋体" w:eastAsia="宋体" w:cs="宋体"/>
          <w:b/>
          <w:bCs/>
          <w:color w:val="auto"/>
          <w:szCs w:val="21"/>
          <w:highlight w:val="none"/>
          <w:lang w:bidi="ar"/>
        </w:rPr>
        <w:br w:type="page"/>
      </w:r>
      <w:bookmarkStart w:id="49" w:name="_Toc31697"/>
      <w:r>
        <w:rPr>
          <w:rFonts w:hint="eastAsia" w:ascii="宋体" w:hAnsi="宋体" w:eastAsia="宋体" w:cs="宋体"/>
          <w:b/>
          <w:bCs/>
          <w:snapToGrid w:val="0"/>
          <w:color w:val="auto"/>
          <w:kern w:val="0"/>
          <w:sz w:val="24"/>
          <w:highlight w:val="none"/>
          <w:lang w:bidi="en-US"/>
        </w:rPr>
        <w:t>附件</w:t>
      </w:r>
      <w:r>
        <w:rPr>
          <w:rFonts w:hint="eastAsia" w:ascii="宋体" w:hAnsi="宋体" w:eastAsia="宋体" w:cs="宋体"/>
          <w:b/>
          <w:bCs/>
          <w:snapToGrid w:val="0"/>
          <w:color w:val="auto"/>
          <w:kern w:val="0"/>
          <w:sz w:val="24"/>
          <w:highlight w:val="none"/>
          <w:lang w:val="en-US" w:eastAsia="zh-CN" w:bidi="en-US"/>
        </w:rPr>
        <w:t>12：</w:t>
      </w:r>
    </w:p>
    <w:p w14:paraId="4B2BB9FF">
      <w:pPr>
        <w:snapToGrid w:val="0"/>
        <w:spacing w:line="360" w:lineRule="auto"/>
        <w:jc w:val="center"/>
        <w:rPr>
          <w:rFonts w:hint="eastAsia" w:ascii="宋体" w:hAnsi="宋体" w:eastAsia="宋体" w:cs="宋体"/>
          <w:b/>
          <w:snapToGrid w:val="0"/>
          <w:color w:val="auto"/>
          <w:sz w:val="28"/>
          <w:szCs w:val="20"/>
          <w:highlight w:val="none"/>
          <w:lang w:val="en-US" w:eastAsia="zh-CN" w:bidi="en-US"/>
        </w:rPr>
      </w:pPr>
      <w:r>
        <w:rPr>
          <w:rFonts w:hint="eastAsia" w:ascii="宋体" w:hAnsi="宋体" w:eastAsia="宋体" w:cs="宋体"/>
          <w:b/>
          <w:snapToGrid w:val="0"/>
          <w:color w:val="auto"/>
          <w:sz w:val="28"/>
          <w:szCs w:val="20"/>
          <w:highlight w:val="none"/>
          <w:lang w:val="en-US" w:eastAsia="zh-CN" w:bidi="en-US"/>
        </w:rPr>
        <w:t>中粮生物科技供应商廉洁承诺书</w:t>
      </w:r>
    </w:p>
    <w:p w14:paraId="4CD81988">
      <w:pPr>
        <w:pStyle w:val="6"/>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lang w:val="en-US" w:eastAsia="zh-CN" w:bidi="ar-SA"/>
        </w:rPr>
      </w:pPr>
      <w:r>
        <w:rPr>
          <w:rFonts w:hint="eastAsia" w:ascii="宋体" w:hAnsi="宋体" w:eastAsia="宋体" w:cs="宋体"/>
          <w:snapToGrid w:val="0"/>
          <w:color w:val="auto"/>
          <w:kern w:val="0"/>
          <w:sz w:val="22"/>
          <w:szCs w:val="28"/>
          <w:highlight w:val="none"/>
          <w:lang w:val="en-US" w:eastAsia="zh-CN" w:bidi="ar-SA"/>
        </w:rPr>
        <w:t>中粮生物科技股份有限公司：</w:t>
      </w:r>
    </w:p>
    <w:p w14:paraId="2D35113F">
      <w:pPr>
        <w:pStyle w:val="6"/>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lang w:val="en-US" w:eastAsia="zh-CN" w:bidi="ar-SA"/>
        </w:rPr>
      </w:pPr>
      <w:r>
        <w:rPr>
          <w:rFonts w:hint="eastAsia" w:ascii="宋体" w:hAnsi="宋体" w:eastAsia="宋体" w:cs="宋体"/>
          <w:snapToGrid w:val="0"/>
          <w:color w:val="auto"/>
          <w:kern w:val="0"/>
          <w:sz w:val="22"/>
          <w:szCs w:val="28"/>
          <w:highlight w:val="none"/>
          <w:lang w:val="en-US" w:eastAsia="zh-CN" w:bidi="ar-SA"/>
        </w:rPr>
        <w:t>为营造守法诚信、廉洁高效的工作环境，防止违规违纪行为的发生，我公司郑重承诺如下:</w:t>
      </w:r>
    </w:p>
    <w:p w14:paraId="36301483">
      <w:pPr>
        <w:pStyle w:val="6"/>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lang w:val="en-US" w:eastAsia="zh-CN" w:bidi="ar-SA"/>
        </w:rPr>
      </w:pPr>
      <w:r>
        <w:rPr>
          <w:rFonts w:hint="eastAsia" w:ascii="宋体" w:hAnsi="宋体" w:eastAsia="宋体" w:cs="宋体"/>
          <w:snapToGrid w:val="0"/>
          <w:color w:val="auto"/>
          <w:kern w:val="0"/>
          <w:sz w:val="22"/>
          <w:szCs w:val="28"/>
          <w:highlight w:val="none"/>
          <w:lang w:val="en-US" w:eastAsia="zh-CN" w:bidi="ar-SA"/>
        </w:rPr>
        <w:t>1.我公司不会以任何形式向贵司工作人员及其亲属、特定关系人(以下简称贵司相关人员)支付回扣、手续费等好处费。</w:t>
      </w:r>
    </w:p>
    <w:p w14:paraId="31E4357B">
      <w:pPr>
        <w:pStyle w:val="6"/>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lang w:val="en-US" w:eastAsia="zh-CN" w:bidi="ar-SA"/>
        </w:rPr>
      </w:pPr>
      <w:r>
        <w:rPr>
          <w:rFonts w:hint="eastAsia" w:ascii="宋体" w:hAnsi="宋体" w:eastAsia="宋体" w:cs="宋体"/>
          <w:snapToGrid w:val="0"/>
          <w:color w:val="auto"/>
          <w:kern w:val="0"/>
          <w:sz w:val="22"/>
          <w:szCs w:val="28"/>
          <w:highlight w:val="none"/>
          <w:lang w:val="en-US" w:eastAsia="zh-CN" w:bidi="ar-SA"/>
        </w:rPr>
        <w:t>2.我公司不会以任何形式向贵司相关人员赠送礼品礼金、有价证券等，不会为其报销应由个人支付的各种费用，不会将钱、物借给贵司相关人员。</w:t>
      </w:r>
    </w:p>
    <w:p w14:paraId="3D205A03">
      <w:pPr>
        <w:pStyle w:val="6"/>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lang w:val="en-US" w:eastAsia="zh-CN" w:bidi="ar-SA"/>
        </w:rPr>
      </w:pPr>
      <w:r>
        <w:rPr>
          <w:rFonts w:hint="eastAsia" w:ascii="宋体" w:hAnsi="宋体" w:eastAsia="宋体" w:cs="宋体"/>
          <w:snapToGrid w:val="0"/>
          <w:color w:val="auto"/>
          <w:kern w:val="0"/>
          <w:sz w:val="22"/>
          <w:szCs w:val="28"/>
          <w:highlight w:val="none"/>
          <w:lang w:val="en-US" w:eastAsia="zh-CN" w:bidi="ar-SA"/>
        </w:rPr>
        <w:t>3.我公司不会以考察、参观、洽谈业务、签订合同等借口，邀请贵司相关人员参加可能对合同履行有影响的宴请外出旅游和各种娱乐活动。</w:t>
      </w:r>
    </w:p>
    <w:p w14:paraId="10946BD7">
      <w:pPr>
        <w:pStyle w:val="6"/>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lang w:val="en-US" w:eastAsia="zh-CN" w:bidi="ar-SA"/>
        </w:rPr>
      </w:pPr>
      <w:r>
        <w:rPr>
          <w:rFonts w:hint="eastAsia" w:ascii="宋体" w:hAnsi="宋体" w:eastAsia="宋体" w:cs="宋体"/>
          <w:snapToGrid w:val="0"/>
          <w:color w:val="auto"/>
          <w:kern w:val="0"/>
          <w:sz w:val="22"/>
          <w:szCs w:val="28"/>
          <w:highlight w:val="none"/>
          <w:lang w:val="en-US" w:eastAsia="zh-CN" w:bidi="ar-SA"/>
        </w:rPr>
        <w:t>4.我公司不会为贵司相关人员在其住房装修、婚丧嫁娶、亲属工作安排等方面提供各种方便。</w:t>
      </w:r>
    </w:p>
    <w:p w14:paraId="20B94D5A">
      <w:pPr>
        <w:pStyle w:val="6"/>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lang w:val="en-US" w:eastAsia="zh-CN" w:bidi="ar-SA"/>
        </w:rPr>
      </w:pPr>
      <w:r>
        <w:rPr>
          <w:rFonts w:hint="eastAsia" w:ascii="宋体" w:hAnsi="宋体" w:eastAsia="宋体" w:cs="宋体"/>
          <w:snapToGrid w:val="0"/>
          <w:color w:val="auto"/>
          <w:kern w:val="0"/>
          <w:sz w:val="22"/>
          <w:szCs w:val="28"/>
          <w:highlight w:val="none"/>
          <w:lang w:val="en-US" w:eastAsia="zh-CN" w:bidi="ar-SA"/>
        </w:rPr>
        <w:t>5.我公司不会为谋取不正当利益与贵司相关人员就合作关系的事项进行私下商谈或者达成利益默契。</w:t>
      </w:r>
    </w:p>
    <w:p w14:paraId="0BB080D7">
      <w:pPr>
        <w:pStyle w:val="6"/>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lang w:val="en-US" w:eastAsia="zh-CN" w:bidi="ar-SA"/>
        </w:rPr>
      </w:pPr>
      <w:r>
        <w:rPr>
          <w:rFonts w:hint="eastAsia" w:ascii="宋体" w:hAnsi="宋体" w:eastAsia="宋体" w:cs="宋体"/>
          <w:snapToGrid w:val="0"/>
          <w:color w:val="auto"/>
          <w:kern w:val="0"/>
          <w:sz w:val="22"/>
          <w:szCs w:val="28"/>
          <w:highlight w:val="none"/>
          <w:lang w:val="en-US" w:eastAsia="zh-CN" w:bidi="ar-SA"/>
        </w:rPr>
        <w:t>6. 我公司不会通过其他任何方式，为贵司相关人员谋取不正当利益。</w:t>
      </w:r>
    </w:p>
    <w:p w14:paraId="501C5A19">
      <w:pPr>
        <w:pStyle w:val="6"/>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lang w:val="en-US" w:eastAsia="zh-CN" w:bidi="ar-SA"/>
        </w:rPr>
      </w:pPr>
      <w:r>
        <w:rPr>
          <w:rFonts w:hint="eastAsia" w:ascii="宋体" w:hAnsi="宋体" w:eastAsia="宋体" w:cs="宋体"/>
          <w:snapToGrid w:val="0"/>
          <w:color w:val="auto"/>
          <w:kern w:val="0"/>
          <w:sz w:val="22"/>
          <w:szCs w:val="28"/>
          <w:highlight w:val="none"/>
          <w:lang w:val="en-US" w:eastAsia="zh-CN" w:bidi="ar-SA"/>
        </w:rPr>
        <w:t>我司若发现贵司工作人员在业务活动中有违反贵司有关采购廉洁自律的行为，我司将予以拒绝并要求贵司工作人员予以纠正。对于无法拒绝或贵司工作人员不予纠正的，我司将及时向中粮生物科技纪委举报（举报电话：010-65047895）。若贵司纪委按照有关法律法规规定，向我司有关人员进行询问、调查，我司有关人员将予以协助，并如实及时提供相关线索、证据和资料。若我公司有关人员违反本《承诺书》，我司愿接受贵司责令整改、暂停或取消与中粮生物科技所有下属企业的业务往来、纳入“合作方黑名单”等方式，并接受国家监察机关或司法机关依纪依法做出的任何处理。</w:t>
      </w:r>
    </w:p>
    <w:p w14:paraId="11ED7FFF">
      <w:pPr>
        <w:pStyle w:val="6"/>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lang w:val="en-US" w:eastAsia="zh-CN" w:bidi="ar-SA"/>
        </w:rPr>
      </w:pPr>
      <w:r>
        <w:rPr>
          <w:rFonts w:hint="eastAsia" w:ascii="宋体" w:hAnsi="宋体" w:eastAsia="宋体" w:cs="宋体"/>
          <w:snapToGrid w:val="0"/>
          <w:color w:val="auto"/>
          <w:kern w:val="0"/>
          <w:sz w:val="22"/>
          <w:szCs w:val="28"/>
          <w:highlight w:val="none"/>
          <w:lang w:val="en-US" w:eastAsia="zh-CN" w:bidi="ar-SA"/>
        </w:rPr>
        <w:t>特此承诺。</w:t>
      </w:r>
    </w:p>
    <w:bookmarkEnd w:id="49"/>
    <w:p w14:paraId="04D04822">
      <w:pPr>
        <w:wordWrap w:val="0"/>
        <w:snapToGrid w:val="0"/>
        <w:spacing w:line="360" w:lineRule="auto"/>
        <w:ind w:right="24" w:firstLine="442" w:firstLineChars="200"/>
        <w:jc w:val="right"/>
        <w:rPr>
          <w:rFonts w:hint="eastAsia" w:ascii="宋体" w:hAnsi="宋体" w:eastAsia="宋体" w:cs="宋体"/>
          <w:b/>
          <w:bCs/>
          <w:color w:val="auto"/>
          <w:sz w:val="22"/>
          <w:szCs w:val="20"/>
          <w:highlight w:val="none"/>
          <w:u w:val="single"/>
          <w:lang w:val="en-US" w:eastAsia="zh-CN"/>
        </w:rPr>
      </w:pPr>
      <w:r>
        <w:rPr>
          <w:rFonts w:hint="eastAsia" w:ascii="宋体" w:hAnsi="宋体" w:eastAsia="宋体" w:cs="宋体"/>
          <w:b/>
          <w:bCs/>
          <w:color w:val="auto"/>
          <w:sz w:val="22"/>
          <w:szCs w:val="20"/>
          <w:highlight w:val="none"/>
          <w:lang w:val="en-US" w:eastAsia="zh-CN"/>
        </w:rPr>
        <w:t>法定代表人签字或签章：</w:t>
      </w:r>
      <w:r>
        <w:rPr>
          <w:rFonts w:hint="eastAsia" w:ascii="宋体" w:hAnsi="宋体" w:eastAsia="宋体" w:cs="宋体"/>
          <w:b/>
          <w:bCs/>
          <w:color w:val="auto"/>
          <w:sz w:val="22"/>
          <w:szCs w:val="20"/>
          <w:highlight w:val="none"/>
          <w:u w:val="single"/>
          <w:lang w:val="en-US" w:eastAsia="zh-CN"/>
        </w:rPr>
        <w:t xml:space="preserve">                   </w:t>
      </w:r>
    </w:p>
    <w:p w14:paraId="5555BB5E">
      <w:pPr>
        <w:snapToGrid w:val="0"/>
        <w:spacing w:line="360" w:lineRule="auto"/>
        <w:ind w:right="24" w:firstLine="440" w:firstLineChars="200"/>
        <w:jc w:val="right"/>
        <w:rPr>
          <w:rFonts w:hint="eastAsia" w:ascii="宋体" w:hAnsi="宋体" w:eastAsia="宋体" w:cs="宋体"/>
          <w:color w:val="auto"/>
          <w:sz w:val="22"/>
          <w:szCs w:val="20"/>
          <w:highlight w:val="none"/>
        </w:rPr>
      </w:pPr>
      <w:r>
        <w:rPr>
          <w:rFonts w:hint="eastAsia" w:ascii="宋体" w:hAnsi="宋体" w:eastAsia="宋体" w:cs="宋体"/>
          <w:color w:val="auto"/>
          <w:sz w:val="22"/>
          <w:szCs w:val="20"/>
          <w:highlight w:val="none"/>
        </w:rPr>
        <w:t>供应商：</w:t>
      </w:r>
      <w:r>
        <w:rPr>
          <w:rFonts w:hint="eastAsia" w:ascii="宋体" w:hAnsi="宋体" w:eastAsia="宋体" w:cs="宋体"/>
          <w:snapToGrid w:val="0"/>
          <w:color w:val="auto"/>
          <w:sz w:val="22"/>
          <w:szCs w:val="20"/>
          <w:highlight w:val="none"/>
          <w:u w:val="single"/>
        </w:rPr>
        <w:t xml:space="preserve">                  （盖章）</w:t>
      </w:r>
    </w:p>
    <w:p w14:paraId="7FD0C398">
      <w:pPr>
        <w:snapToGrid w:val="0"/>
        <w:spacing w:line="360" w:lineRule="auto"/>
        <w:ind w:left="420" w:leftChars="200" w:firstLine="440" w:firstLineChars="200"/>
        <w:jc w:val="right"/>
        <w:rPr>
          <w:rFonts w:hint="eastAsia" w:ascii="宋体" w:hAnsi="宋体" w:eastAsia="宋体" w:cs="宋体"/>
          <w:highlight w:val="none"/>
        </w:rPr>
      </w:pPr>
      <w:r>
        <w:rPr>
          <w:rFonts w:hint="eastAsia" w:ascii="宋体" w:hAnsi="宋体" w:eastAsia="宋体" w:cs="宋体"/>
          <w:snapToGrid w:val="0"/>
          <w:color w:val="auto"/>
          <w:sz w:val="22"/>
          <w:szCs w:val="20"/>
          <w:highlight w:val="none"/>
          <w:u w:val="single"/>
        </w:rPr>
        <w:t xml:space="preserve">   </w:t>
      </w:r>
      <w:r>
        <w:rPr>
          <w:rFonts w:hint="eastAsia" w:ascii="宋体" w:hAnsi="宋体" w:eastAsia="宋体" w:cs="宋体"/>
          <w:snapToGrid w:val="0"/>
          <w:color w:val="auto"/>
          <w:kern w:val="0"/>
          <w:sz w:val="22"/>
          <w:szCs w:val="20"/>
          <w:highlight w:val="none"/>
          <w:u w:val="single"/>
        </w:rPr>
        <w:t xml:space="preserve">  </w:t>
      </w:r>
      <w:r>
        <w:rPr>
          <w:rFonts w:hint="eastAsia" w:ascii="宋体" w:hAnsi="宋体" w:eastAsia="宋体" w:cs="宋体"/>
          <w:snapToGrid w:val="0"/>
          <w:color w:val="auto"/>
          <w:kern w:val="0"/>
          <w:sz w:val="22"/>
          <w:szCs w:val="20"/>
          <w:highlight w:val="none"/>
        </w:rPr>
        <w:t>年</w:t>
      </w:r>
      <w:r>
        <w:rPr>
          <w:rFonts w:hint="eastAsia" w:ascii="宋体" w:hAnsi="宋体" w:eastAsia="宋体" w:cs="宋体"/>
          <w:snapToGrid w:val="0"/>
          <w:color w:val="auto"/>
          <w:sz w:val="22"/>
          <w:szCs w:val="20"/>
          <w:highlight w:val="none"/>
          <w:u w:val="single"/>
        </w:rPr>
        <w:t xml:space="preserve">   </w:t>
      </w:r>
      <w:r>
        <w:rPr>
          <w:rFonts w:hint="eastAsia" w:ascii="宋体" w:hAnsi="宋体" w:eastAsia="宋体" w:cs="宋体"/>
          <w:snapToGrid w:val="0"/>
          <w:color w:val="auto"/>
          <w:kern w:val="0"/>
          <w:sz w:val="22"/>
          <w:szCs w:val="20"/>
          <w:highlight w:val="none"/>
          <w:u w:val="single"/>
        </w:rPr>
        <w:t xml:space="preserve">  </w:t>
      </w:r>
      <w:r>
        <w:rPr>
          <w:rFonts w:hint="eastAsia" w:ascii="宋体" w:hAnsi="宋体" w:eastAsia="宋体" w:cs="宋体"/>
          <w:snapToGrid w:val="0"/>
          <w:color w:val="auto"/>
          <w:kern w:val="0"/>
          <w:sz w:val="22"/>
          <w:szCs w:val="20"/>
          <w:highlight w:val="none"/>
        </w:rPr>
        <w:t>月</w:t>
      </w:r>
      <w:r>
        <w:rPr>
          <w:rFonts w:hint="eastAsia" w:ascii="宋体" w:hAnsi="宋体" w:eastAsia="宋体" w:cs="宋体"/>
          <w:snapToGrid w:val="0"/>
          <w:color w:val="auto"/>
          <w:sz w:val="22"/>
          <w:szCs w:val="20"/>
          <w:highlight w:val="none"/>
          <w:u w:val="single"/>
        </w:rPr>
        <w:t xml:space="preserve">   </w:t>
      </w:r>
      <w:r>
        <w:rPr>
          <w:rFonts w:hint="eastAsia" w:ascii="宋体" w:hAnsi="宋体" w:eastAsia="宋体" w:cs="宋体"/>
          <w:snapToGrid w:val="0"/>
          <w:color w:val="auto"/>
          <w:kern w:val="0"/>
          <w:sz w:val="22"/>
          <w:szCs w:val="20"/>
          <w:highlight w:val="none"/>
          <w:u w:val="single"/>
        </w:rPr>
        <w:t xml:space="preserve">  </w:t>
      </w:r>
      <w:r>
        <w:rPr>
          <w:rFonts w:hint="eastAsia" w:ascii="宋体" w:hAnsi="宋体" w:eastAsia="宋体" w:cs="宋体"/>
          <w:snapToGrid w:val="0"/>
          <w:color w:val="auto"/>
          <w:kern w:val="0"/>
          <w:sz w:val="22"/>
          <w:szCs w:val="20"/>
          <w:highlight w:val="none"/>
        </w:rPr>
        <w:t>日</w:t>
      </w:r>
    </w:p>
    <w:p w14:paraId="5F0CA2A4">
      <w:pPr>
        <w:jc w:val="center"/>
        <w:rPr>
          <w:rFonts w:hint="eastAsia" w:ascii="宋体" w:hAnsi="宋体" w:eastAsia="宋体" w:cs="宋体"/>
          <w:b/>
          <w:snapToGrid w:val="0"/>
          <w:color w:val="auto"/>
          <w:sz w:val="28"/>
          <w:szCs w:val="20"/>
          <w:highlight w:val="none"/>
          <w:lang w:val="en-US" w:eastAsia="zh-CN" w:bidi="en-US"/>
        </w:rPr>
      </w:pPr>
      <w:r>
        <w:rPr>
          <w:rFonts w:hint="eastAsia" w:ascii="宋体" w:hAnsi="宋体" w:eastAsia="宋体" w:cs="宋体"/>
          <w:highlight w:val="none"/>
        </w:rPr>
        <w:br w:type="page"/>
      </w:r>
      <w:r>
        <w:rPr>
          <w:rFonts w:hint="eastAsia" w:ascii="宋体" w:hAnsi="宋体" w:eastAsia="宋体" w:cs="宋体"/>
          <w:b/>
          <w:snapToGrid w:val="0"/>
          <w:color w:val="auto"/>
          <w:sz w:val="28"/>
          <w:szCs w:val="20"/>
          <w:highlight w:val="none"/>
          <w:lang w:val="en-US" w:eastAsia="zh-CN" w:bidi="en-US"/>
        </w:rPr>
        <w:t>中粮生物科技安全运输管理协议</w:t>
      </w:r>
    </w:p>
    <w:p w14:paraId="2EB0145D">
      <w:pPr>
        <w:pStyle w:val="6"/>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lang w:val="en-US" w:eastAsia="zh-CN" w:bidi="ar-SA"/>
        </w:rPr>
      </w:pPr>
      <w:r>
        <w:rPr>
          <w:rFonts w:hint="eastAsia" w:ascii="宋体" w:hAnsi="宋体" w:eastAsia="宋体" w:cs="宋体"/>
          <w:snapToGrid w:val="0"/>
          <w:color w:val="auto"/>
          <w:kern w:val="0"/>
          <w:sz w:val="22"/>
          <w:szCs w:val="28"/>
          <w:highlight w:val="none"/>
          <w:lang w:val="en-US" w:eastAsia="zh-CN" w:bidi="ar-SA"/>
        </w:rPr>
        <w:t>根据《中华人民共和国道路交通安全法》等要求和双方已达成的《仓储运输服务代理合同》，为了明确双方的安全责任和义务，加强灌装、运输和接卸等过程的安全管理，经双方协商达成如下协议：</w:t>
      </w:r>
    </w:p>
    <w:p w14:paraId="5ADF58F0">
      <w:pPr>
        <w:pStyle w:val="6"/>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lang w:val="en-US" w:eastAsia="zh-CN" w:bidi="ar-SA"/>
        </w:rPr>
      </w:pPr>
      <w:r>
        <w:rPr>
          <w:rFonts w:hint="eastAsia" w:ascii="宋体" w:hAnsi="宋体" w:eastAsia="宋体" w:cs="宋体"/>
          <w:snapToGrid w:val="0"/>
          <w:color w:val="auto"/>
          <w:kern w:val="0"/>
          <w:sz w:val="22"/>
          <w:szCs w:val="28"/>
          <w:highlight w:val="none"/>
          <w:lang w:val="en-US" w:eastAsia="zh-CN" w:bidi="ar-SA"/>
        </w:rPr>
        <w:t>一、甲方的权利、义务和责任</w:t>
      </w:r>
    </w:p>
    <w:p w14:paraId="631E213F">
      <w:pPr>
        <w:pStyle w:val="6"/>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lang w:val="en-US" w:eastAsia="zh-CN" w:bidi="ar-SA"/>
        </w:rPr>
      </w:pPr>
      <w:r>
        <w:rPr>
          <w:rFonts w:hint="eastAsia" w:ascii="宋体" w:hAnsi="宋体" w:eastAsia="宋体" w:cs="宋体"/>
          <w:snapToGrid w:val="0"/>
          <w:color w:val="auto"/>
          <w:kern w:val="0"/>
          <w:sz w:val="22"/>
          <w:szCs w:val="28"/>
          <w:highlight w:val="none"/>
          <w:lang w:val="en-US" w:eastAsia="zh-CN" w:bidi="ar-SA"/>
        </w:rPr>
        <w:t>（一）甲方有义务向乙方负责人或安全责任人宣传本公司的安全、消防方面的有关规定，由乙方负责人再向本单位工作人员做全面的安全教育和安全培训，确保安全运输作业不发生货物和人身伤亡事故。</w:t>
      </w:r>
    </w:p>
    <w:p w14:paraId="2B51608D">
      <w:pPr>
        <w:pStyle w:val="6"/>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lang w:val="en-US" w:eastAsia="zh-CN" w:bidi="ar-SA"/>
        </w:rPr>
      </w:pPr>
      <w:r>
        <w:rPr>
          <w:rFonts w:hint="eastAsia" w:ascii="宋体" w:hAnsi="宋体" w:eastAsia="宋体" w:cs="宋体"/>
          <w:snapToGrid w:val="0"/>
          <w:color w:val="auto"/>
          <w:kern w:val="0"/>
          <w:sz w:val="22"/>
          <w:szCs w:val="28"/>
          <w:highlight w:val="none"/>
          <w:lang w:val="en-US" w:eastAsia="zh-CN" w:bidi="ar-SA"/>
        </w:rPr>
        <w:t>（二）甲方有权对乙方的运输作业进行监督管理，对“三违”的人和事进行纠正、教育，按照甲方公司规定以及法律法规的要求追究相应责任，情节严重的给予取消运输资格或将当事人清除出运输工作，并全额承担由此给甲方造成的损失。</w:t>
      </w:r>
    </w:p>
    <w:p w14:paraId="26D77AF1">
      <w:pPr>
        <w:pStyle w:val="6"/>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lang w:val="en-US" w:eastAsia="zh-CN" w:bidi="ar-SA"/>
        </w:rPr>
      </w:pPr>
      <w:r>
        <w:rPr>
          <w:rFonts w:hint="eastAsia" w:ascii="宋体" w:hAnsi="宋体" w:eastAsia="宋体" w:cs="宋体"/>
          <w:snapToGrid w:val="0"/>
          <w:color w:val="auto"/>
          <w:kern w:val="0"/>
          <w:sz w:val="22"/>
          <w:szCs w:val="28"/>
          <w:highlight w:val="none"/>
          <w:lang w:val="en-US" w:eastAsia="zh-CN" w:bidi="ar-SA"/>
        </w:rPr>
        <w:t>（三）乙方在运输作业中，违反安全操作规程或乙方自身的责任造成人员伤亡或财产损失的，甲方不承担任何责任。</w:t>
      </w:r>
    </w:p>
    <w:p w14:paraId="6900B691">
      <w:pPr>
        <w:pStyle w:val="6"/>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lang w:val="en-US" w:eastAsia="zh-CN" w:bidi="ar-SA"/>
        </w:rPr>
      </w:pPr>
      <w:r>
        <w:rPr>
          <w:rFonts w:hint="eastAsia" w:ascii="宋体" w:hAnsi="宋体" w:eastAsia="宋体" w:cs="宋体"/>
          <w:snapToGrid w:val="0"/>
          <w:color w:val="auto"/>
          <w:kern w:val="0"/>
          <w:sz w:val="22"/>
          <w:szCs w:val="28"/>
          <w:highlight w:val="none"/>
          <w:lang w:val="en-US" w:eastAsia="zh-CN" w:bidi="ar-SA"/>
        </w:rPr>
        <w:t>二、乙方的权利、义务和责任</w:t>
      </w:r>
    </w:p>
    <w:p w14:paraId="378487E1">
      <w:pPr>
        <w:pStyle w:val="6"/>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lang w:val="en-US" w:eastAsia="zh-CN" w:bidi="ar-SA"/>
        </w:rPr>
      </w:pPr>
      <w:r>
        <w:rPr>
          <w:rFonts w:hint="eastAsia" w:ascii="宋体" w:hAnsi="宋体" w:eastAsia="宋体" w:cs="宋体"/>
          <w:snapToGrid w:val="0"/>
          <w:color w:val="auto"/>
          <w:kern w:val="0"/>
          <w:sz w:val="22"/>
          <w:szCs w:val="28"/>
          <w:highlight w:val="none"/>
          <w:lang w:val="en-US" w:eastAsia="zh-CN" w:bidi="ar-SA"/>
        </w:rPr>
        <w:t>（一）乙方有义务严格按照国家《道路交通安全法》和地方法规、法律以及遵守甲方和甲方客户的安全、消防、流程规定实施运输作业。</w:t>
      </w:r>
    </w:p>
    <w:p w14:paraId="63903867">
      <w:pPr>
        <w:pStyle w:val="6"/>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lang w:val="en-US" w:eastAsia="zh-CN" w:bidi="ar-SA"/>
        </w:rPr>
      </w:pPr>
      <w:r>
        <w:rPr>
          <w:rFonts w:hint="eastAsia" w:ascii="宋体" w:hAnsi="宋体" w:eastAsia="宋体" w:cs="宋体"/>
          <w:snapToGrid w:val="0"/>
          <w:color w:val="auto"/>
          <w:kern w:val="0"/>
          <w:sz w:val="22"/>
          <w:szCs w:val="28"/>
          <w:highlight w:val="none"/>
          <w:lang w:val="en-US" w:eastAsia="zh-CN" w:bidi="ar-SA"/>
        </w:rPr>
        <w:t>（二）乙方有义务向甲方提供营业执照、运输经营许可证、法人代表证明、运输驾驶人员有效的作业资格证书等相关材料，并对其真实性负责。</w:t>
      </w:r>
    </w:p>
    <w:p w14:paraId="2430C9CF">
      <w:pPr>
        <w:pStyle w:val="6"/>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lang w:val="en-US" w:eastAsia="zh-CN" w:bidi="ar-SA"/>
        </w:rPr>
      </w:pPr>
      <w:r>
        <w:rPr>
          <w:rFonts w:hint="eastAsia" w:ascii="宋体" w:hAnsi="宋体" w:eastAsia="宋体" w:cs="宋体"/>
          <w:snapToGrid w:val="0"/>
          <w:color w:val="auto"/>
          <w:kern w:val="0"/>
          <w:sz w:val="22"/>
          <w:szCs w:val="28"/>
          <w:highlight w:val="none"/>
          <w:lang w:val="en-US" w:eastAsia="zh-CN" w:bidi="ar-SA"/>
        </w:rPr>
        <w:t>（三）乙方有义务与从业人员签订劳动合同，应载明保障从业人员劳动安全、防止职业危害的事项，以及依法为从业人员办理工伤保险的事项；运输车辆做好维护，以及依法办理的保险。</w:t>
      </w:r>
    </w:p>
    <w:p w14:paraId="621715D0">
      <w:pPr>
        <w:pStyle w:val="6"/>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lang w:val="en-US" w:eastAsia="zh-CN" w:bidi="ar-SA"/>
        </w:rPr>
      </w:pPr>
      <w:r>
        <w:rPr>
          <w:rFonts w:hint="eastAsia" w:ascii="宋体" w:hAnsi="宋体" w:eastAsia="宋体" w:cs="宋体"/>
          <w:snapToGrid w:val="0"/>
          <w:color w:val="auto"/>
          <w:kern w:val="0"/>
          <w:sz w:val="22"/>
          <w:szCs w:val="28"/>
          <w:highlight w:val="none"/>
          <w:lang w:val="en-US" w:eastAsia="zh-CN" w:bidi="ar-SA"/>
        </w:rPr>
        <w:t>(四)乙方保证有完善的运输安全体系和健全的安全消防制度，从技术力量、设施、器材以及职业安全卫生防护用品上能满足从事运输作业需要，有运输应急预案。</w:t>
      </w:r>
    </w:p>
    <w:p w14:paraId="01E918F6">
      <w:pPr>
        <w:pStyle w:val="6"/>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lang w:val="en-US" w:eastAsia="zh-CN" w:bidi="ar-SA"/>
        </w:rPr>
      </w:pPr>
      <w:r>
        <w:rPr>
          <w:rFonts w:hint="eastAsia" w:ascii="宋体" w:hAnsi="宋体" w:eastAsia="宋体" w:cs="宋体"/>
          <w:snapToGrid w:val="0"/>
          <w:color w:val="auto"/>
          <w:kern w:val="0"/>
          <w:sz w:val="22"/>
          <w:szCs w:val="28"/>
          <w:highlight w:val="none"/>
          <w:lang w:val="en-US" w:eastAsia="zh-CN" w:bidi="ar-SA"/>
        </w:rPr>
        <w:t>（五）接受甲方安全检查人员的监督检查，对查出的隐患和违章行为，必须按要求的期限纠正、整改；对拒不纠正和整改的，甲方根据隐患性质的大小给予处罚，并承担由此给甲方造成的一切损失。</w:t>
      </w:r>
    </w:p>
    <w:p w14:paraId="64863C51">
      <w:pPr>
        <w:pStyle w:val="6"/>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lang w:val="en-US" w:eastAsia="zh-CN" w:bidi="ar-SA"/>
        </w:rPr>
      </w:pPr>
      <w:r>
        <w:rPr>
          <w:rFonts w:hint="eastAsia" w:ascii="宋体" w:hAnsi="宋体" w:eastAsia="宋体" w:cs="宋体"/>
          <w:snapToGrid w:val="0"/>
          <w:color w:val="auto"/>
          <w:kern w:val="0"/>
          <w:sz w:val="22"/>
          <w:szCs w:val="28"/>
          <w:highlight w:val="none"/>
          <w:lang w:val="en-US" w:eastAsia="zh-CN" w:bidi="ar-SA"/>
        </w:rPr>
        <w:t>（六）乙方在运输作业过程中，遵守甲方及甲方客户规定，接受其监督和管理。违反安全操作规程给甲方及甲方客户造成的人员伤亡和财产损失，乙方应承担全额赔偿责任。</w:t>
      </w:r>
    </w:p>
    <w:p w14:paraId="1A3A5A82">
      <w:pPr>
        <w:pStyle w:val="6"/>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lang w:val="en-US" w:eastAsia="zh-CN" w:bidi="ar-SA"/>
        </w:rPr>
      </w:pPr>
      <w:r>
        <w:rPr>
          <w:rFonts w:hint="eastAsia" w:ascii="宋体" w:hAnsi="宋体" w:eastAsia="宋体" w:cs="宋体"/>
          <w:snapToGrid w:val="0"/>
          <w:color w:val="auto"/>
          <w:kern w:val="0"/>
          <w:sz w:val="22"/>
          <w:szCs w:val="28"/>
          <w:highlight w:val="none"/>
          <w:lang w:val="en-US" w:eastAsia="zh-CN" w:bidi="ar-SA"/>
        </w:rPr>
        <w:t>（七）乙方在运输作业过程中，反馈货物送达情况及安全运输情况；违反安全操作规程给乙方造成的人员伤亡和财产损失，由乙方自行承担。</w:t>
      </w:r>
    </w:p>
    <w:p w14:paraId="3AA417A1">
      <w:pPr>
        <w:pStyle w:val="6"/>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lang w:val="en-US" w:eastAsia="zh-CN" w:bidi="ar-SA"/>
        </w:rPr>
      </w:pPr>
      <w:r>
        <w:rPr>
          <w:rFonts w:hint="eastAsia" w:ascii="宋体" w:hAnsi="宋体" w:eastAsia="宋体" w:cs="宋体"/>
          <w:snapToGrid w:val="0"/>
          <w:color w:val="auto"/>
          <w:kern w:val="0"/>
          <w:sz w:val="22"/>
          <w:szCs w:val="28"/>
          <w:highlight w:val="none"/>
          <w:lang w:val="en-US" w:eastAsia="zh-CN" w:bidi="ar-SA"/>
        </w:rPr>
        <w:t>（八）乙方有权拒绝违章指挥。</w:t>
      </w:r>
    </w:p>
    <w:p w14:paraId="7400F4A8">
      <w:pPr>
        <w:pStyle w:val="6"/>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lang w:val="en-US" w:eastAsia="zh-CN" w:bidi="ar-SA"/>
        </w:rPr>
      </w:pPr>
      <w:r>
        <w:rPr>
          <w:rFonts w:hint="eastAsia" w:ascii="宋体" w:hAnsi="宋体" w:eastAsia="宋体" w:cs="宋体"/>
          <w:snapToGrid w:val="0"/>
          <w:color w:val="auto"/>
          <w:kern w:val="0"/>
          <w:sz w:val="22"/>
          <w:szCs w:val="28"/>
          <w:highlight w:val="none"/>
          <w:lang w:val="en-US" w:eastAsia="zh-CN" w:bidi="ar-SA"/>
        </w:rPr>
        <w:t>（九）乙方保证运输车辆及作业人员在执行运输计划前已做了安全检查，保证车辆及作业人员符合运输安全要求。</w:t>
      </w:r>
    </w:p>
    <w:p w14:paraId="6AA81E45">
      <w:pPr>
        <w:pStyle w:val="6"/>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lang w:val="en-US" w:eastAsia="zh-CN" w:bidi="ar-SA"/>
        </w:rPr>
      </w:pPr>
      <w:r>
        <w:rPr>
          <w:rFonts w:hint="eastAsia" w:ascii="宋体" w:hAnsi="宋体" w:eastAsia="宋体" w:cs="宋体"/>
          <w:snapToGrid w:val="0"/>
          <w:color w:val="auto"/>
          <w:kern w:val="0"/>
          <w:sz w:val="22"/>
          <w:szCs w:val="28"/>
          <w:highlight w:val="none"/>
          <w:lang w:val="en-US" w:eastAsia="zh-CN" w:bidi="ar-SA"/>
        </w:rPr>
        <w:t>三、未尽事宜，双方协商解决，协商不成，可依法向原告方所在地人民法院起诉。</w:t>
      </w:r>
    </w:p>
    <w:p w14:paraId="694E9452">
      <w:pPr>
        <w:pStyle w:val="6"/>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lang w:val="en-US" w:eastAsia="zh-CN" w:bidi="ar-SA"/>
        </w:rPr>
      </w:pPr>
      <w:r>
        <w:rPr>
          <w:rFonts w:hint="eastAsia" w:ascii="宋体" w:hAnsi="宋体" w:eastAsia="宋体" w:cs="宋体"/>
          <w:snapToGrid w:val="0"/>
          <w:color w:val="auto"/>
          <w:kern w:val="0"/>
          <w:sz w:val="22"/>
          <w:szCs w:val="28"/>
          <w:highlight w:val="none"/>
          <w:lang w:val="en-US" w:eastAsia="zh-CN" w:bidi="ar-SA"/>
        </w:rPr>
        <w:t>四、本协议与其依附的合同具有同等法律效力，一式两份，双方各执一份。本合同经双方盖章后生效，协议有效期为2026年5月1日至2027年 4月30日。</w:t>
      </w:r>
    </w:p>
    <w:p w14:paraId="5EB67308">
      <w:pPr>
        <w:pStyle w:val="6"/>
        <w:numPr>
          <w:ilvl w:val="0"/>
          <w:numId w:val="0"/>
        </w:numPr>
        <w:spacing w:line="360" w:lineRule="auto"/>
        <w:ind w:left="0" w:leftChars="0" w:firstLine="560" w:firstLineChars="0"/>
        <w:rPr>
          <w:rFonts w:hint="eastAsia" w:ascii="宋体" w:hAnsi="宋体" w:eastAsia="宋体" w:cs="宋体"/>
          <w:snapToGrid w:val="0"/>
          <w:color w:val="auto"/>
          <w:kern w:val="0"/>
          <w:sz w:val="22"/>
          <w:szCs w:val="28"/>
          <w:highlight w:val="none"/>
          <w:lang w:val="en-US" w:eastAsia="zh-CN" w:bidi="ar-SA"/>
        </w:rPr>
      </w:pPr>
      <w:r>
        <w:rPr>
          <w:rFonts w:hint="eastAsia" w:ascii="宋体" w:hAnsi="宋体" w:eastAsia="宋体" w:cs="宋体"/>
          <w:snapToGrid w:val="0"/>
          <w:color w:val="auto"/>
          <w:kern w:val="0"/>
          <w:sz w:val="22"/>
          <w:szCs w:val="28"/>
          <w:highlight w:val="none"/>
          <w:lang w:val="en-US" w:eastAsia="zh-CN" w:bidi="ar-SA"/>
        </w:rPr>
        <w:t>本公司（单位）郑重声明，若我单位成为本次采购项目的成交供应商，将严格按照《中粮生物科技安全运输管理协议》中所有条款及要求，全面、合规、如实地执行各项运输服务，确保运输流程安全、规范，完全符合协议约定标准。若存在任何虚假承诺行为，我单位自愿依法承担由此产生的全部法律责任、经济赔偿责任及其他相关一切责任，接受相应处罚。</w:t>
      </w:r>
    </w:p>
    <w:p w14:paraId="0AEE160D">
      <w:pPr>
        <w:snapToGrid w:val="0"/>
        <w:spacing w:line="360" w:lineRule="auto"/>
        <w:ind w:right="24" w:firstLine="440" w:firstLineChars="200"/>
        <w:jc w:val="right"/>
        <w:rPr>
          <w:rFonts w:hint="eastAsia" w:ascii="宋体" w:hAnsi="宋体" w:eastAsia="宋体" w:cs="宋体"/>
          <w:color w:val="auto"/>
          <w:sz w:val="22"/>
          <w:szCs w:val="20"/>
          <w:highlight w:val="none"/>
        </w:rPr>
      </w:pPr>
      <w:r>
        <w:rPr>
          <w:rFonts w:hint="eastAsia" w:ascii="宋体" w:hAnsi="宋体" w:eastAsia="宋体" w:cs="宋体"/>
          <w:color w:val="auto"/>
          <w:sz w:val="22"/>
          <w:szCs w:val="20"/>
          <w:highlight w:val="none"/>
        </w:rPr>
        <w:t>供应商：</w:t>
      </w:r>
      <w:r>
        <w:rPr>
          <w:rFonts w:hint="eastAsia" w:ascii="宋体" w:hAnsi="宋体" w:eastAsia="宋体" w:cs="宋体"/>
          <w:snapToGrid w:val="0"/>
          <w:color w:val="auto"/>
          <w:sz w:val="22"/>
          <w:szCs w:val="20"/>
          <w:highlight w:val="none"/>
          <w:u w:val="single"/>
        </w:rPr>
        <w:t xml:space="preserve">                  （盖章）</w:t>
      </w:r>
    </w:p>
    <w:p w14:paraId="108DBBE5">
      <w:pPr>
        <w:snapToGrid w:val="0"/>
        <w:spacing w:line="360" w:lineRule="auto"/>
        <w:ind w:left="420" w:leftChars="200" w:firstLine="440" w:firstLineChars="200"/>
        <w:jc w:val="right"/>
        <w:rPr>
          <w:rFonts w:hint="eastAsia" w:ascii="宋体" w:hAnsi="宋体" w:eastAsia="宋体" w:cs="宋体"/>
          <w:snapToGrid w:val="0"/>
          <w:color w:val="auto"/>
          <w:kern w:val="0"/>
          <w:sz w:val="22"/>
          <w:szCs w:val="20"/>
          <w:highlight w:val="none"/>
        </w:rPr>
      </w:pPr>
      <w:r>
        <w:rPr>
          <w:rFonts w:hint="eastAsia" w:ascii="宋体" w:hAnsi="宋体" w:eastAsia="宋体" w:cs="宋体"/>
          <w:snapToGrid w:val="0"/>
          <w:color w:val="auto"/>
          <w:sz w:val="22"/>
          <w:szCs w:val="20"/>
          <w:highlight w:val="none"/>
          <w:u w:val="single"/>
        </w:rPr>
        <w:t xml:space="preserve">   </w:t>
      </w:r>
      <w:r>
        <w:rPr>
          <w:rFonts w:hint="eastAsia" w:ascii="宋体" w:hAnsi="宋体" w:eastAsia="宋体" w:cs="宋体"/>
          <w:snapToGrid w:val="0"/>
          <w:color w:val="auto"/>
          <w:kern w:val="0"/>
          <w:sz w:val="22"/>
          <w:szCs w:val="20"/>
          <w:highlight w:val="none"/>
          <w:u w:val="single"/>
        </w:rPr>
        <w:t xml:space="preserve">  </w:t>
      </w:r>
      <w:r>
        <w:rPr>
          <w:rFonts w:hint="eastAsia" w:ascii="宋体" w:hAnsi="宋体" w:eastAsia="宋体" w:cs="宋体"/>
          <w:snapToGrid w:val="0"/>
          <w:color w:val="auto"/>
          <w:kern w:val="0"/>
          <w:sz w:val="22"/>
          <w:szCs w:val="20"/>
          <w:highlight w:val="none"/>
        </w:rPr>
        <w:t>年</w:t>
      </w:r>
      <w:r>
        <w:rPr>
          <w:rFonts w:hint="eastAsia" w:ascii="宋体" w:hAnsi="宋体" w:eastAsia="宋体" w:cs="宋体"/>
          <w:snapToGrid w:val="0"/>
          <w:color w:val="auto"/>
          <w:sz w:val="22"/>
          <w:szCs w:val="20"/>
          <w:highlight w:val="none"/>
          <w:u w:val="single"/>
        </w:rPr>
        <w:t xml:space="preserve">   </w:t>
      </w:r>
      <w:r>
        <w:rPr>
          <w:rFonts w:hint="eastAsia" w:ascii="宋体" w:hAnsi="宋体" w:eastAsia="宋体" w:cs="宋体"/>
          <w:snapToGrid w:val="0"/>
          <w:color w:val="auto"/>
          <w:kern w:val="0"/>
          <w:sz w:val="22"/>
          <w:szCs w:val="20"/>
          <w:highlight w:val="none"/>
          <w:u w:val="single"/>
        </w:rPr>
        <w:t xml:space="preserve">  </w:t>
      </w:r>
      <w:r>
        <w:rPr>
          <w:rFonts w:hint="eastAsia" w:ascii="宋体" w:hAnsi="宋体" w:eastAsia="宋体" w:cs="宋体"/>
          <w:snapToGrid w:val="0"/>
          <w:color w:val="auto"/>
          <w:kern w:val="0"/>
          <w:sz w:val="22"/>
          <w:szCs w:val="20"/>
          <w:highlight w:val="none"/>
        </w:rPr>
        <w:t>月</w:t>
      </w:r>
      <w:r>
        <w:rPr>
          <w:rFonts w:hint="eastAsia" w:ascii="宋体" w:hAnsi="宋体" w:eastAsia="宋体" w:cs="宋体"/>
          <w:snapToGrid w:val="0"/>
          <w:color w:val="auto"/>
          <w:sz w:val="22"/>
          <w:szCs w:val="20"/>
          <w:highlight w:val="none"/>
          <w:u w:val="single"/>
        </w:rPr>
        <w:t xml:space="preserve">   </w:t>
      </w:r>
      <w:r>
        <w:rPr>
          <w:rFonts w:hint="eastAsia" w:ascii="宋体" w:hAnsi="宋体" w:eastAsia="宋体" w:cs="宋体"/>
          <w:snapToGrid w:val="0"/>
          <w:color w:val="auto"/>
          <w:kern w:val="0"/>
          <w:sz w:val="22"/>
          <w:szCs w:val="20"/>
          <w:highlight w:val="none"/>
          <w:u w:val="single"/>
        </w:rPr>
        <w:t xml:space="preserve">  </w:t>
      </w:r>
      <w:r>
        <w:rPr>
          <w:rFonts w:hint="eastAsia" w:ascii="宋体" w:hAnsi="宋体" w:eastAsia="宋体" w:cs="宋体"/>
          <w:snapToGrid w:val="0"/>
          <w:color w:val="auto"/>
          <w:kern w:val="0"/>
          <w:sz w:val="22"/>
          <w:szCs w:val="20"/>
          <w:highlight w:val="none"/>
        </w:rPr>
        <w:t>日</w:t>
      </w:r>
    </w:p>
    <w:p w14:paraId="526CB1F6">
      <w:pPr>
        <w:snapToGrid w:val="0"/>
        <w:spacing w:line="360" w:lineRule="auto"/>
        <w:jc w:val="center"/>
        <w:rPr>
          <w:rFonts w:hint="eastAsia" w:ascii="宋体" w:hAnsi="宋体" w:eastAsia="宋体" w:cs="宋体"/>
          <w:b/>
          <w:snapToGrid w:val="0"/>
          <w:color w:val="auto"/>
          <w:sz w:val="28"/>
          <w:szCs w:val="20"/>
          <w:highlight w:val="none"/>
          <w:lang w:val="en-US" w:eastAsia="zh-CN" w:bidi="en-US"/>
        </w:rPr>
      </w:pPr>
      <w:r>
        <w:rPr>
          <w:rFonts w:hint="eastAsia" w:ascii="宋体" w:hAnsi="宋体" w:eastAsia="宋体" w:cs="宋体"/>
          <w:b/>
          <w:snapToGrid w:val="0"/>
          <w:color w:val="auto"/>
          <w:sz w:val="28"/>
          <w:szCs w:val="20"/>
          <w:highlight w:val="none"/>
          <w:lang w:val="en-US" w:eastAsia="zh-CN" w:bidi="en-US"/>
        </w:rPr>
        <w:t>中粮生物科技物流服务供应商禁止行为其他管理要求</w:t>
      </w:r>
    </w:p>
    <w:tbl>
      <w:tblPr>
        <w:tblStyle w:val="7"/>
        <w:tblW w:w="4999"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479"/>
        <w:gridCol w:w="7845"/>
      </w:tblGrid>
      <w:tr w14:paraId="101C02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288" w:type="pct"/>
            <w:tcBorders>
              <w:top w:val="single" w:color="auto" w:sz="8" w:space="0"/>
              <w:left w:val="single" w:color="auto" w:sz="8" w:space="0"/>
              <w:bottom w:val="single" w:color="auto" w:sz="8" w:space="0"/>
              <w:right w:val="single" w:color="auto" w:sz="8" w:space="0"/>
            </w:tcBorders>
            <w:noWrap w:val="0"/>
            <w:vAlign w:val="center"/>
          </w:tcPr>
          <w:p w14:paraId="761F4C6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序号</w:t>
            </w:r>
          </w:p>
        </w:tc>
        <w:tc>
          <w:tcPr>
            <w:tcW w:w="4711" w:type="pct"/>
            <w:tcBorders>
              <w:top w:val="single" w:color="auto" w:sz="8" w:space="0"/>
              <w:left w:val="single" w:color="auto" w:sz="8" w:space="0"/>
              <w:bottom w:val="single" w:color="auto" w:sz="8" w:space="0"/>
              <w:right w:val="single" w:color="auto" w:sz="8" w:space="0"/>
            </w:tcBorders>
            <w:noWrap w:val="0"/>
            <w:vAlign w:val="center"/>
          </w:tcPr>
          <w:p w14:paraId="2A8D91D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物流服务供应商禁止行为其他管理要求</w:t>
            </w:r>
          </w:p>
        </w:tc>
      </w:tr>
      <w:tr w14:paraId="7DD79D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3" w:hRule="atLeast"/>
        </w:trPr>
        <w:tc>
          <w:tcPr>
            <w:tcW w:w="288" w:type="pct"/>
            <w:tcBorders>
              <w:top w:val="single" w:color="auto" w:sz="8" w:space="0"/>
              <w:left w:val="single" w:color="auto" w:sz="8" w:space="0"/>
              <w:bottom w:val="single" w:color="auto" w:sz="8" w:space="0"/>
              <w:right w:val="single" w:color="auto" w:sz="8" w:space="0"/>
            </w:tcBorders>
            <w:noWrap w:val="0"/>
            <w:vAlign w:val="center"/>
          </w:tcPr>
          <w:p w14:paraId="05EEAA3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1</w:t>
            </w:r>
          </w:p>
        </w:tc>
        <w:tc>
          <w:tcPr>
            <w:tcW w:w="4711" w:type="pct"/>
            <w:tcBorders>
              <w:top w:val="single" w:color="auto" w:sz="8" w:space="0"/>
              <w:left w:val="single" w:color="auto" w:sz="8" w:space="0"/>
              <w:bottom w:val="single" w:color="auto" w:sz="8" w:space="0"/>
              <w:right w:val="single" w:color="auto" w:sz="8" w:space="0"/>
            </w:tcBorders>
            <w:noWrap w:val="0"/>
            <w:vAlign w:val="center"/>
          </w:tcPr>
          <w:p w14:paraId="33940ECF">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物流服务供应商有义务指导和规范其雇佣或委托的单位和人员的行为，任何违反公司管理规范和要求的行为，包括但不限于《物流服务供应商禁止行为清单》中列举事项，不论是物流服务供应商自己造成的还是物流服务供应商雇佣或委托的单位或人员造成的，均由物流服务供应商承担事故的全部责任并扣除履约保证金，如给第三人造成人身损害或经济损失的，由物流服务供应商全部责任，如给中粮生物科技下属工厂及客户工厂造成经济损失或声誉损害的，由物流服务供应商负责经济赔偿及消除损害。</w:t>
            </w:r>
          </w:p>
        </w:tc>
      </w:tr>
      <w:tr w14:paraId="6EA5EB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288" w:type="pct"/>
            <w:tcBorders>
              <w:top w:val="single" w:color="auto" w:sz="8" w:space="0"/>
              <w:left w:val="single" w:color="auto" w:sz="8" w:space="0"/>
              <w:bottom w:val="single" w:color="auto" w:sz="8" w:space="0"/>
              <w:right w:val="single" w:color="auto" w:sz="8" w:space="0"/>
            </w:tcBorders>
            <w:noWrap w:val="0"/>
            <w:vAlign w:val="center"/>
          </w:tcPr>
          <w:p w14:paraId="2FAF2FA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2</w:t>
            </w:r>
          </w:p>
        </w:tc>
        <w:tc>
          <w:tcPr>
            <w:tcW w:w="4711" w:type="pct"/>
            <w:tcBorders>
              <w:top w:val="single" w:color="auto" w:sz="8" w:space="0"/>
              <w:left w:val="single" w:color="auto" w:sz="8" w:space="0"/>
              <w:bottom w:val="single" w:color="auto" w:sz="8" w:space="0"/>
              <w:right w:val="single" w:color="auto" w:sz="8" w:space="0"/>
            </w:tcBorders>
            <w:noWrap w:val="0"/>
            <w:vAlign w:val="center"/>
          </w:tcPr>
          <w:p w14:paraId="0F715327">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在中粮生物科技下属工厂及客户工厂物流服务供应商违反了《物流服务供应商禁止行为清单》</w:t>
            </w:r>
            <w:r>
              <w:rPr>
                <w:rFonts w:hint="eastAsia" w:ascii="宋体" w:hAnsi="宋体" w:eastAsia="宋体" w:cs="宋体"/>
                <w:i w:val="0"/>
                <w:iCs w:val="0"/>
                <w:color w:val="000000"/>
                <w:kern w:val="0"/>
                <w:sz w:val="20"/>
                <w:szCs w:val="20"/>
                <w:highlight w:val="none"/>
                <w:u w:val="none"/>
                <w:lang w:val="en-US" w:eastAsia="en-US" w:bidi="ar"/>
              </w:rPr>
              <w:t>中列举事项</w:t>
            </w:r>
            <w:r>
              <w:rPr>
                <w:rFonts w:hint="eastAsia" w:ascii="宋体" w:hAnsi="宋体" w:eastAsia="宋体" w:cs="宋体"/>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en-US" w:bidi="ar"/>
              </w:rPr>
              <w:t>违约金、赔偿金等款项</w:t>
            </w:r>
            <w:r>
              <w:rPr>
                <w:rFonts w:hint="eastAsia" w:ascii="宋体" w:hAnsi="宋体" w:eastAsia="宋体" w:cs="宋体"/>
                <w:i w:val="0"/>
                <w:iCs w:val="0"/>
                <w:color w:val="000000"/>
                <w:kern w:val="0"/>
                <w:sz w:val="20"/>
                <w:szCs w:val="20"/>
                <w:highlight w:val="none"/>
                <w:u w:val="none"/>
                <w:lang w:val="en-US" w:eastAsia="zh-CN" w:bidi="ar"/>
              </w:rPr>
              <w:t>超过了履约保证金金额的，物流服务供应商</w:t>
            </w:r>
            <w:r>
              <w:rPr>
                <w:rFonts w:hint="eastAsia" w:ascii="宋体" w:hAnsi="宋体" w:eastAsia="宋体" w:cs="宋体"/>
                <w:i w:val="0"/>
                <w:iCs w:val="0"/>
                <w:color w:val="000000"/>
                <w:kern w:val="0"/>
                <w:sz w:val="20"/>
                <w:szCs w:val="20"/>
                <w:highlight w:val="none"/>
                <w:u w:val="none"/>
                <w:lang w:val="en-US" w:eastAsia="en-US" w:bidi="ar"/>
              </w:rPr>
              <w:t>同意</w:t>
            </w:r>
            <w:r>
              <w:rPr>
                <w:rFonts w:hint="eastAsia" w:ascii="宋体" w:hAnsi="宋体" w:eastAsia="宋体" w:cs="宋体"/>
                <w:i w:val="0"/>
                <w:iCs w:val="0"/>
                <w:color w:val="000000"/>
                <w:kern w:val="0"/>
                <w:sz w:val="20"/>
                <w:szCs w:val="20"/>
                <w:highlight w:val="none"/>
                <w:u w:val="none"/>
                <w:lang w:val="en-US" w:eastAsia="zh-CN" w:bidi="ar"/>
              </w:rPr>
              <w:t>甲方</w:t>
            </w:r>
            <w:r>
              <w:rPr>
                <w:rFonts w:hint="eastAsia" w:ascii="宋体" w:hAnsi="宋体" w:eastAsia="宋体" w:cs="宋体"/>
                <w:i w:val="0"/>
                <w:iCs w:val="0"/>
                <w:color w:val="000000"/>
                <w:kern w:val="0"/>
                <w:sz w:val="20"/>
                <w:szCs w:val="20"/>
                <w:highlight w:val="none"/>
                <w:u w:val="none"/>
                <w:lang w:val="en-US" w:eastAsia="en-US" w:bidi="ar"/>
              </w:rPr>
              <w:t>可直接从</w:t>
            </w:r>
            <w:r>
              <w:rPr>
                <w:rFonts w:hint="eastAsia" w:ascii="宋体" w:hAnsi="宋体" w:eastAsia="宋体" w:cs="宋体"/>
                <w:i w:val="0"/>
                <w:iCs w:val="0"/>
                <w:color w:val="000000"/>
                <w:kern w:val="0"/>
                <w:sz w:val="20"/>
                <w:szCs w:val="20"/>
                <w:highlight w:val="none"/>
                <w:u w:val="none"/>
                <w:lang w:val="en-US" w:eastAsia="zh-CN" w:bidi="ar"/>
              </w:rPr>
              <w:t>物流服务供应商运费</w:t>
            </w:r>
            <w:r>
              <w:rPr>
                <w:rFonts w:hint="eastAsia" w:ascii="宋体" w:hAnsi="宋体" w:eastAsia="宋体" w:cs="宋体"/>
                <w:i w:val="0"/>
                <w:iCs w:val="0"/>
                <w:color w:val="000000"/>
                <w:kern w:val="0"/>
                <w:sz w:val="20"/>
                <w:szCs w:val="20"/>
                <w:highlight w:val="none"/>
                <w:u w:val="none"/>
                <w:lang w:val="en-US" w:eastAsia="en-US" w:bidi="ar"/>
              </w:rPr>
              <w:t>中扣除</w:t>
            </w:r>
            <w:r>
              <w:rPr>
                <w:rFonts w:hint="eastAsia" w:ascii="宋体" w:hAnsi="宋体" w:eastAsia="宋体" w:cs="宋体"/>
                <w:i w:val="0"/>
                <w:iCs w:val="0"/>
                <w:color w:val="000000"/>
                <w:kern w:val="0"/>
                <w:sz w:val="20"/>
                <w:szCs w:val="20"/>
                <w:highlight w:val="none"/>
                <w:u w:val="none"/>
                <w:lang w:val="en-US" w:eastAsia="zh-CN" w:bidi="ar"/>
              </w:rPr>
              <w:t>，如运费额度不足扣除款项，需按时缴纳剩余差额款项</w:t>
            </w:r>
            <w:r>
              <w:rPr>
                <w:rFonts w:hint="eastAsia" w:ascii="宋体" w:hAnsi="宋体" w:eastAsia="宋体" w:cs="宋体"/>
                <w:i w:val="0"/>
                <w:iCs w:val="0"/>
                <w:color w:val="000000"/>
                <w:kern w:val="0"/>
                <w:sz w:val="20"/>
                <w:szCs w:val="20"/>
                <w:highlight w:val="none"/>
                <w:u w:val="none"/>
                <w:lang w:val="en-US" w:eastAsia="en-US" w:bidi="ar"/>
              </w:rPr>
              <w:t>。</w:t>
            </w:r>
            <w:r>
              <w:rPr>
                <w:rFonts w:hint="eastAsia" w:ascii="宋体" w:hAnsi="宋体" w:eastAsia="宋体" w:cs="宋体"/>
                <w:i w:val="0"/>
                <w:iCs w:val="0"/>
                <w:color w:val="000000"/>
                <w:kern w:val="0"/>
                <w:sz w:val="20"/>
                <w:szCs w:val="20"/>
                <w:highlight w:val="none"/>
                <w:u w:val="none"/>
                <w:lang w:val="en-US" w:eastAsia="zh-CN" w:bidi="ar"/>
              </w:rPr>
              <w:t>如物流服务供应商不同意在运费中扣除，超出履约保证金金额部分，需按规定时间内缴纳。</w:t>
            </w:r>
          </w:p>
        </w:tc>
      </w:tr>
      <w:tr w14:paraId="7D74CA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288" w:type="pct"/>
            <w:tcBorders>
              <w:top w:val="single" w:color="auto" w:sz="8" w:space="0"/>
              <w:left w:val="single" w:color="auto" w:sz="8" w:space="0"/>
              <w:bottom w:val="single" w:color="auto" w:sz="8" w:space="0"/>
              <w:right w:val="single" w:color="auto" w:sz="8" w:space="0"/>
            </w:tcBorders>
            <w:noWrap w:val="0"/>
            <w:vAlign w:val="center"/>
          </w:tcPr>
          <w:p w14:paraId="0527489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3</w:t>
            </w:r>
          </w:p>
        </w:tc>
        <w:tc>
          <w:tcPr>
            <w:tcW w:w="4711" w:type="pct"/>
            <w:tcBorders>
              <w:top w:val="single" w:color="auto" w:sz="8" w:space="0"/>
              <w:left w:val="single" w:color="auto" w:sz="8" w:space="0"/>
              <w:bottom w:val="single" w:color="auto" w:sz="8" w:space="0"/>
              <w:right w:val="single" w:color="auto" w:sz="8" w:space="0"/>
            </w:tcBorders>
            <w:noWrap w:val="0"/>
            <w:vAlign w:val="center"/>
          </w:tcPr>
          <w:p w14:paraId="26958496">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在中粮生物科技下属工厂及客户工厂现场出现无法准确判定责任归属的违规事件，由物流服务供应商承担50%责任。</w:t>
            </w:r>
          </w:p>
        </w:tc>
      </w:tr>
      <w:tr w14:paraId="1D14DA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288" w:type="pct"/>
            <w:tcBorders>
              <w:top w:val="single" w:color="auto" w:sz="8" w:space="0"/>
              <w:left w:val="single" w:color="auto" w:sz="8" w:space="0"/>
              <w:bottom w:val="single" w:color="auto" w:sz="8" w:space="0"/>
              <w:right w:val="single" w:color="auto" w:sz="8" w:space="0"/>
            </w:tcBorders>
            <w:noWrap w:val="0"/>
            <w:vAlign w:val="center"/>
          </w:tcPr>
          <w:p w14:paraId="2A185DF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4</w:t>
            </w:r>
          </w:p>
        </w:tc>
        <w:tc>
          <w:tcPr>
            <w:tcW w:w="4711" w:type="pct"/>
            <w:tcBorders>
              <w:top w:val="single" w:color="auto" w:sz="8" w:space="0"/>
              <w:left w:val="single" w:color="auto" w:sz="8" w:space="0"/>
              <w:bottom w:val="single" w:color="auto" w:sz="8" w:space="0"/>
              <w:right w:val="single" w:color="auto" w:sz="8" w:space="0"/>
            </w:tcBorders>
            <w:noWrap w:val="0"/>
            <w:vAlign w:val="center"/>
          </w:tcPr>
          <w:p w14:paraId="10FDDD3C">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在中粮生物科技下属工厂及客户工厂出现《物流服务供应商禁止行为清单》中列举事项及之外的任何违规事件，物流服务供应商必须提供书面的整改计划并监督整改。</w:t>
            </w:r>
          </w:p>
        </w:tc>
      </w:tr>
      <w:tr w14:paraId="69D82D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288" w:type="pct"/>
            <w:tcBorders>
              <w:top w:val="single" w:color="auto" w:sz="8" w:space="0"/>
              <w:left w:val="single" w:color="auto" w:sz="8" w:space="0"/>
              <w:bottom w:val="single" w:color="auto" w:sz="8" w:space="0"/>
              <w:right w:val="single" w:color="auto" w:sz="8" w:space="0"/>
            </w:tcBorders>
            <w:noWrap w:val="0"/>
            <w:vAlign w:val="center"/>
          </w:tcPr>
          <w:p w14:paraId="26165BE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5</w:t>
            </w:r>
          </w:p>
        </w:tc>
        <w:tc>
          <w:tcPr>
            <w:tcW w:w="4711" w:type="pct"/>
            <w:tcBorders>
              <w:top w:val="single" w:color="auto" w:sz="8" w:space="0"/>
              <w:left w:val="single" w:color="auto" w:sz="8" w:space="0"/>
              <w:bottom w:val="single" w:color="auto" w:sz="8" w:space="0"/>
              <w:right w:val="single" w:color="auto" w:sz="8" w:space="0"/>
            </w:tcBorders>
            <w:noWrap w:val="0"/>
            <w:vAlign w:val="center"/>
          </w:tcPr>
          <w:p w14:paraId="3E06797C">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在中粮生物科技下属工厂及客户工厂物流服务供应商及其雇佣或委托的单位或人员在一个月内发生第二次安全违规行为，禁止该员三天内入厂，再次入厂时需提供该员安全教育记录。</w:t>
            </w:r>
          </w:p>
        </w:tc>
      </w:tr>
      <w:tr w14:paraId="0987F6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3" w:hRule="atLeast"/>
        </w:trPr>
        <w:tc>
          <w:tcPr>
            <w:tcW w:w="288" w:type="pct"/>
            <w:tcBorders>
              <w:top w:val="single" w:color="auto" w:sz="8" w:space="0"/>
              <w:left w:val="single" w:color="auto" w:sz="8" w:space="0"/>
              <w:bottom w:val="single" w:color="auto" w:sz="8" w:space="0"/>
              <w:right w:val="single" w:color="auto" w:sz="8" w:space="0"/>
            </w:tcBorders>
            <w:noWrap w:val="0"/>
            <w:vAlign w:val="center"/>
          </w:tcPr>
          <w:p w14:paraId="2E4A09F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6</w:t>
            </w:r>
          </w:p>
        </w:tc>
        <w:tc>
          <w:tcPr>
            <w:tcW w:w="4711" w:type="pct"/>
            <w:tcBorders>
              <w:top w:val="single" w:color="auto" w:sz="8" w:space="0"/>
              <w:left w:val="single" w:color="auto" w:sz="8" w:space="0"/>
              <w:bottom w:val="single" w:color="auto" w:sz="8" w:space="0"/>
              <w:right w:val="single" w:color="auto" w:sz="8" w:space="0"/>
            </w:tcBorders>
            <w:noWrap w:val="0"/>
            <w:vAlign w:val="center"/>
          </w:tcPr>
          <w:p w14:paraId="595C5EA0">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在中粮生物科技下属工厂及客户工厂物流服务供应商及其雇佣或委托的单位或人员在一个月内发生第三次安全违规行为，立即驱离出厂，列入黑名单，永久不得入厂。</w:t>
            </w:r>
          </w:p>
        </w:tc>
      </w:tr>
    </w:tbl>
    <w:p w14:paraId="45D6D5FF">
      <w:pPr>
        <w:jc w:val="left"/>
        <w:rPr>
          <w:rFonts w:hint="eastAsia" w:ascii="宋体" w:hAnsi="宋体" w:eastAsia="宋体" w:cs="宋体"/>
          <w:b/>
          <w:bCs w:val="0"/>
          <w:szCs w:val="32"/>
          <w:highlight w:val="none"/>
          <w:lang w:val="en-US" w:eastAsia="zh-CN"/>
        </w:rPr>
      </w:pPr>
    </w:p>
    <w:p w14:paraId="16506C69">
      <w:pPr>
        <w:jc w:val="left"/>
        <w:rPr>
          <w:rFonts w:hint="eastAsia" w:ascii="宋体" w:hAnsi="宋体" w:eastAsia="宋体" w:cs="宋体"/>
          <w:b/>
          <w:bCs w:val="0"/>
          <w:szCs w:val="32"/>
          <w:highlight w:val="none"/>
          <w:lang w:val="en-US" w:eastAsia="zh-CN"/>
        </w:rPr>
      </w:pPr>
      <w:r>
        <w:rPr>
          <w:rFonts w:hint="eastAsia" w:ascii="宋体" w:hAnsi="宋体" w:eastAsia="宋体" w:cs="宋体"/>
          <w:b/>
          <w:bCs w:val="0"/>
          <w:szCs w:val="32"/>
          <w:highlight w:val="none"/>
          <w:lang w:val="en-US" w:eastAsia="zh-CN"/>
        </w:rPr>
        <w:t>附件：中粮生物科技物流服务供应商禁止行为清单</w:t>
      </w:r>
    </w:p>
    <w:tbl>
      <w:tblPr>
        <w:tblStyle w:val="3"/>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9"/>
        <w:gridCol w:w="6225"/>
        <w:gridCol w:w="1826"/>
      </w:tblGrid>
      <w:tr w14:paraId="4666FB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275"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8C39F7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序号</w:t>
            </w:r>
          </w:p>
        </w:tc>
        <w:tc>
          <w:tcPr>
            <w:tcW w:w="3652"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F89A31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物流服务供应商禁止行为</w:t>
            </w:r>
          </w:p>
        </w:tc>
        <w:tc>
          <w:tcPr>
            <w:tcW w:w="1071"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45743A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扣除履约保证金标准</w:t>
            </w:r>
          </w:p>
        </w:tc>
      </w:tr>
      <w:tr w14:paraId="423312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trPr>
        <w:tc>
          <w:tcPr>
            <w:tcW w:w="275" w:type="pct"/>
            <w:tcBorders>
              <w:top w:val="single" w:color="000000" w:sz="8" w:space="0"/>
              <w:left w:val="single" w:color="000000" w:sz="8" w:space="0"/>
              <w:bottom w:val="single" w:color="000000" w:sz="8" w:space="0"/>
              <w:right w:val="single" w:color="000000" w:sz="8" w:space="0"/>
            </w:tcBorders>
            <w:noWrap w:val="0"/>
            <w:vAlign w:val="center"/>
          </w:tcPr>
          <w:p w14:paraId="2926790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652" w:type="pct"/>
            <w:tcBorders>
              <w:top w:val="single" w:color="000000" w:sz="8" w:space="0"/>
              <w:left w:val="single" w:color="000000" w:sz="8" w:space="0"/>
              <w:bottom w:val="single" w:color="000000" w:sz="8" w:space="0"/>
              <w:right w:val="single" w:color="000000" w:sz="8" w:space="0"/>
            </w:tcBorders>
            <w:noWrap w:val="0"/>
            <w:vAlign w:val="center"/>
          </w:tcPr>
          <w:p w14:paraId="7F48047F">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在中粮生物科技下属工厂及客户工厂违规停车，占用、堵塞、封闭消防车通道、疏散通道、安全出口；超速行车或鸣笛；未按要求放置防滑块、阻车器或其他阻车设施；未放置路阻；人员不按道路标线行走</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1F0329C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500元/人/次</w:t>
            </w:r>
          </w:p>
        </w:tc>
      </w:tr>
      <w:tr w14:paraId="348392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75" w:type="pct"/>
            <w:tcBorders>
              <w:top w:val="single" w:color="000000" w:sz="8" w:space="0"/>
              <w:left w:val="single" w:color="000000" w:sz="8" w:space="0"/>
              <w:bottom w:val="single" w:color="000000" w:sz="8" w:space="0"/>
              <w:right w:val="single" w:color="000000" w:sz="8" w:space="0"/>
            </w:tcBorders>
            <w:noWrap w:val="0"/>
            <w:vAlign w:val="center"/>
          </w:tcPr>
          <w:p w14:paraId="7E7F268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652" w:type="pct"/>
            <w:tcBorders>
              <w:top w:val="single" w:color="000000" w:sz="8" w:space="0"/>
              <w:left w:val="single" w:color="000000" w:sz="8" w:space="0"/>
              <w:bottom w:val="single" w:color="000000" w:sz="8" w:space="0"/>
              <w:right w:val="single" w:color="000000" w:sz="8" w:space="0"/>
            </w:tcBorders>
            <w:noWrap w:val="0"/>
            <w:vAlign w:val="center"/>
          </w:tcPr>
          <w:p w14:paraId="6B900EFD">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在中粮生物科技下属工厂、外租库及客户工厂非吸烟区吸烟、吸食其它类似东西</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4A8CABA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500元/人/次</w:t>
            </w:r>
          </w:p>
        </w:tc>
      </w:tr>
      <w:tr w14:paraId="2EFA5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75" w:type="pct"/>
            <w:tcBorders>
              <w:top w:val="single" w:color="000000" w:sz="8" w:space="0"/>
              <w:left w:val="single" w:color="000000" w:sz="8" w:space="0"/>
              <w:bottom w:val="single" w:color="000000" w:sz="8" w:space="0"/>
              <w:right w:val="single" w:color="000000" w:sz="8" w:space="0"/>
            </w:tcBorders>
            <w:noWrap w:val="0"/>
            <w:vAlign w:val="center"/>
          </w:tcPr>
          <w:p w14:paraId="052F127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w:t>
            </w:r>
          </w:p>
        </w:tc>
        <w:tc>
          <w:tcPr>
            <w:tcW w:w="3652" w:type="pct"/>
            <w:tcBorders>
              <w:top w:val="single" w:color="000000" w:sz="8" w:space="0"/>
              <w:left w:val="single" w:color="000000" w:sz="8" w:space="0"/>
              <w:bottom w:val="single" w:color="000000" w:sz="8" w:space="0"/>
              <w:right w:val="single" w:color="000000" w:sz="8" w:space="0"/>
            </w:tcBorders>
            <w:noWrap w:val="0"/>
            <w:vAlign w:val="center"/>
          </w:tcPr>
          <w:p w14:paraId="1BD2A1DF">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在中粮生物科技下属工厂、外租库及客户工厂，发现酒驾、饮用含有酒精的饮品或服用违禁药品的行为</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278EA20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5000 元/人/次</w:t>
            </w:r>
          </w:p>
        </w:tc>
      </w:tr>
      <w:tr w14:paraId="63CFA6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75" w:type="pct"/>
            <w:tcBorders>
              <w:top w:val="single" w:color="000000" w:sz="8" w:space="0"/>
              <w:left w:val="single" w:color="000000" w:sz="8" w:space="0"/>
              <w:bottom w:val="single" w:color="000000" w:sz="8" w:space="0"/>
              <w:right w:val="single" w:color="000000" w:sz="8" w:space="0"/>
            </w:tcBorders>
            <w:noWrap w:val="0"/>
            <w:vAlign w:val="center"/>
          </w:tcPr>
          <w:p w14:paraId="2127DEA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4</w:t>
            </w:r>
          </w:p>
        </w:tc>
        <w:tc>
          <w:tcPr>
            <w:tcW w:w="3652" w:type="pct"/>
            <w:tcBorders>
              <w:top w:val="single" w:color="000000" w:sz="8" w:space="0"/>
              <w:left w:val="single" w:color="000000" w:sz="8" w:space="0"/>
              <w:bottom w:val="single" w:color="000000" w:sz="8" w:space="0"/>
              <w:right w:val="single" w:color="000000" w:sz="8" w:space="0"/>
            </w:tcBorders>
            <w:noWrap w:val="0"/>
            <w:vAlign w:val="center"/>
          </w:tcPr>
          <w:p w14:paraId="13E6170F">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未规范佩戴劳动保护及安全标识(包括但不限于：未穿反光背心或带反光条的工作装、安全帽、安全带、安全鞋、护目镜、赤膊工作等）进入相应区域，登高作业未按要使用戴安全帽、安全带、速差器、生命线等安全防护设备或设施</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0EBA1EA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1000元/人/次</w:t>
            </w:r>
          </w:p>
        </w:tc>
      </w:tr>
      <w:tr w14:paraId="32CA55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6" w:hRule="atLeast"/>
        </w:trPr>
        <w:tc>
          <w:tcPr>
            <w:tcW w:w="275" w:type="pct"/>
            <w:tcBorders>
              <w:top w:val="single" w:color="000000" w:sz="8" w:space="0"/>
              <w:left w:val="single" w:color="000000" w:sz="8" w:space="0"/>
              <w:bottom w:val="single" w:color="000000" w:sz="8" w:space="0"/>
              <w:right w:val="single" w:color="000000" w:sz="8" w:space="0"/>
            </w:tcBorders>
            <w:noWrap w:val="0"/>
            <w:vAlign w:val="center"/>
          </w:tcPr>
          <w:p w14:paraId="2F9EE4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5</w:t>
            </w:r>
          </w:p>
        </w:tc>
        <w:tc>
          <w:tcPr>
            <w:tcW w:w="3652" w:type="pct"/>
            <w:tcBorders>
              <w:top w:val="single" w:color="000000" w:sz="8" w:space="0"/>
              <w:left w:val="single" w:color="000000" w:sz="8" w:space="0"/>
              <w:bottom w:val="single" w:color="000000" w:sz="8" w:space="0"/>
              <w:right w:val="single" w:color="000000" w:sz="8" w:space="0"/>
            </w:tcBorders>
            <w:noWrap w:val="0"/>
            <w:vAlign w:val="center"/>
          </w:tcPr>
          <w:p w14:paraId="16A2C650">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在中粮生物科技下属工厂及客户工厂未经许可，擅自使用工厂工具、设备、设施、特种设备（包括但不限于生产设备、机动车辆、电梯、锅炉、变配电、空压机、叉车、计算机、消防设施等）</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1FE25FE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5000元/次</w:t>
            </w:r>
          </w:p>
        </w:tc>
      </w:tr>
      <w:tr w14:paraId="4F531A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3" w:hRule="atLeast"/>
        </w:trPr>
        <w:tc>
          <w:tcPr>
            <w:tcW w:w="275" w:type="pct"/>
            <w:tcBorders>
              <w:top w:val="single" w:color="000000" w:sz="8" w:space="0"/>
              <w:left w:val="single" w:color="000000" w:sz="8" w:space="0"/>
              <w:bottom w:val="single" w:color="000000" w:sz="8" w:space="0"/>
              <w:right w:val="single" w:color="000000" w:sz="8" w:space="0"/>
            </w:tcBorders>
            <w:noWrap w:val="0"/>
            <w:vAlign w:val="center"/>
          </w:tcPr>
          <w:p w14:paraId="1049BD4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6</w:t>
            </w:r>
          </w:p>
        </w:tc>
        <w:tc>
          <w:tcPr>
            <w:tcW w:w="3652" w:type="pct"/>
            <w:tcBorders>
              <w:top w:val="single" w:color="000000" w:sz="8" w:space="0"/>
              <w:left w:val="single" w:color="000000" w:sz="8" w:space="0"/>
              <w:bottom w:val="single" w:color="000000" w:sz="8" w:space="0"/>
              <w:right w:val="single" w:color="000000" w:sz="8" w:space="0"/>
            </w:tcBorders>
            <w:noWrap w:val="0"/>
            <w:vAlign w:val="center"/>
          </w:tcPr>
          <w:p w14:paraId="35329FC4">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在中粮生物科技下属工厂及客户工厂未按要求办理入厂申请、未经批准，携带非法物品或危险品进入工厂，产生安全隐患的</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13BE081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2000元/次</w:t>
            </w:r>
          </w:p>
        </w:tc>
      </w:tr>
      <w:tr w14:paraId="5454C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7" w:hRule="atLeast"/>
        </w:trPr>
        <w:tc>
          <w:tcPr>
            <w:tcW w:w="275" w:type="pct"/>
            <w:tcBorders>
              <w:top w:val="single" w:color="000000" w:sz="8" w:space="0"/>
              <w:left w:val="single" w:color="000000" w:sz="8" w:space="0"/>
              <w:bottom w:val="single" w:color="000000" w:sz="8" w:space="0"/>
              <w:right w:val="single" w:color="000000" w:sz="8" w:space="0"/>
            </w:tcBorders>
            <w:noWrap w:val="0"/>
            <w:vAlign w:val="center"/>
          </w:tcPr>
          <w:p w14:paraId="6362C0B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7</w:t>
            </w:r>
          </w:p>
        </w:tc>
        <w:tc>
          <w:tcPr>
            <w:tcW w:w="3652" w:type="pct"/>
            <w:tcBorders>
              <w:top w:val="single" w:color="000000" w:sz="8" w:space="0"/>
              <w:left w:val="single" w:color="000000" w:sz="8" w:space="0"/>
              <w:bottom w:val="single" w:color="000000" w:sz="8" w:space="0"/>
              <w:right w:val="single" w:color="000000" w:sz="8" w:space="0"/>
            </w:tcBorders>
            <w:noWrap w:val="0"/>
            <w:vAlign w:val="center"/>
          </w:tcPr>
          <w:p w14:paraId="5A5D0547">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未经许可擅自进入限制区域（包括但不限于仓库、生产区域），产生安全隐患的</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7F9E906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2000元/次</w:t>
            </w:r>
          </w:p>
        </w:tc>
      </w:tr>
      <w:tr w14:paraId="6630AA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6" w:hRule="atLeast"/>
        </w:trPr>
        <w:tc>
          <w:tcPr>
            <w:tcW w:w="275" w:type="pct"/>
            <w:tcBorders>
              <w:top w:val="single" w:color="000000" w:sz="8" w:space="0"/>
              <w:left w:val="single" w:color="000000" w:sz="8" w:space="0"/>
              <w:bottom w:val="single" w:color="000000" w:sz="8" w:space="0"/>
              <w:right w:val="single" w:color="000000" w:sz="8" w:space="0"/>
            </w:tcBorders>
            <w:noWrap w:val="0"/>
            <w:vAlign w:val="center"/>
          </w:tcPr>
          <w:p w14:paraId="3BDA1F7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8</w:t>
            </w:r>
          </w:p>
        </w:tc>
        <w:tc>
          <w:tcPr>
            <w:tcW w:w="3652" w:type="pct"/>
            <w:tcBorders>
              <w:top w:val="single" w:color="000000" w:sz="8" w:space="0"/>
              <w:left w:val="single" w:color="000000" w:sz="8" w:space="0"/>
              <w:bottom w:val="single" w:color="000000" w:sz="8" w:space="0"/>
              <w:right w:val="single" w:color="000000" w:sz="8" w:space="0"/>
            </w:tcBorders>
            <w:noWrap w:val="0"/>
            <w:vAlign w:val="center"/>
          </w:tcPr>
          <w:p w14:paraId="37DCBF6E">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在中粮生物科技下属工厂及客户工厂非紧急情况或未经允许，私自故意移动、损坏、规避、挪用、停用或使用消防设施或消防器材、安全环保系统、安全保护设施、其他设施、设备、应急物资等</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019ACEA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1000元/次</w:t>
            </w:r>
          </w:p>
        </w:tc>
      </w:tr>
      <w:tr w14:paraId="612DED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75" w:type="pct"/>
            <w:tcBorders>
              <w:top w:val="single" w:color="000000" w:sz="8" w:space="0"/>
              <w:left w:val="single" w:color="000000" w:sz="8" w:space="0"/>
              <w:bottom w:val="single" w:color="000000" w:sz="8" w:space="0"/>
              <w:right w:val="single" w:color="000000" w:sz="8" w:space="0"/>
            </w:tcBorders>
            <w:noWrap w:val="0"/>
            <w:vAlign w:val="center"/>
          </w:tcPr>
          <w:p w14:paraId="562EBB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9</w:t>
            </w:r>
          </w:p>
        </w:tc>
        <w:tc>
          <w:tcPr>
            <w:tcW w:w="3652" w:type="pct"/>
            <w:tcBorders>
              <w:top w:val="single" w:color="000000" w:sz="8" w:space="0"/>
              <w:left w:val="single" w:color="000000" w:sz="8" w:space="0"/>
              <w:bottom w:val="single" w:color="000000" w:sz="8" w:space="0"/>
              <w:right w:val="single" w:color="000000" w:sz="8" w:space="0"/>
            </w:tcBorders>
            <w:noWrap w:val="0"/>
            <w:vAlign w:val="center"/>
          </w:tcPr>
          <w:p w14:paraId="707787EF">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在中粮生物科技下属工厂及客户工厂无故不参加工厂规定的安全培训或安全工作例会的</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0D0577C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200元/人/次</w:t>
            </w:r>
          </w:p>
        </w:tc>
      </w:tr>
      <w:tr w14:paraId="082671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75" w:type="pct"/>
            <w:tcBorders>
              <w:top w:val="single" w:color="000000" w:sz="8" w:space="0"/>
              <w:left w:val="single" w:color="000000" w:sz="8" w:space="0"/>
              <w:bottom w:val="single" w:color="000000" w:sz="8" w:space="0"/>
              <w:right w:val="single" w:color="000000" w:sz="8" w:space="0"/>
            </w:tcBorders>
            <w:noWrap w:val="0"/>
            <w:vAlign w:val="center"/>
          </w:tcPr>
          <w:p w14:paraId="6893929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w:t>
            </w:r>
          </w:p>
        </w:tc>
        <w:tc>
          <w:tcPr>
            <w:tcW w:w="3652" w:type="pct"/>
            <w:tcBorders>
              <w:top w:val="single" w:color="000000" w:sz="8" w:space="0"/>
              <w:left w:val="single" w:color="000000" w:sz="8" w:space="0"/>
              <w:bottom w:val="single" w:color="000000" w:sz="8" w:space="0"/>
              <w:right w:val="single" w:color="000000" w:sz="8" w:space="0"/>
            </w:tcBorders>
            <w:noWrap w:val="0"/>
            <w:vAlign w:val="center"/>
          </w:tcPr>
          <w:p w14:paraId="2BB358D5">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未按中粮生物科技下属工厂及客户工厂管理规定要求提供安全培训记录、安全检查记录；提供虚假的安全培训记录、安全检查记录的</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608B3A7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10000元/次</w:t>
            </w:r>
          </w:p>
        </w:tc>
      </w:tr>
      <w:tr w14:paraId="6EA52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75" w:type="pct"/>
            <w:tcBorders>
              <w:top w:val="single" w:color="000000" w:sz="8" w:space="0"/>
              <w:left w:val="single" w:color="000000" w:sz="8" w:space="0"/>
              <w:bottom w:val="single" w:color="000000" w:sz="8" w:space="0"/>
              <w:right w:val="single" w:color="000000" w:sz="8" w:space="0"/>
            </w:tcBorders>
            <w:noWrap w:val="0"/>
            <w:vAlign w:val="center"/>
          </w:tcPr>
          <w:p w14:paraId="2BBB2C5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11</w:t>
            </w:r>
          </w:p>
        </w:tc>
        <w:tc>
          <w:tcPr>
            <w:tcW w:w="3652" w:type="pct"/>
            <w:tcBorders>
              <w:top w:val="single" w:color="000000" w:sz="8" w:space="0"/>
              <w:left w:val="single" w:color="000000" w:sz="8" w:space="0"/>
              <w:bottom w:val="single" w:color="000000" w:sz="8" w:space="0"/>
              <w:right w:val="single" w:color="000000" w:sz="8" w:space="0"/>
            </w:tcBorders>
            <w:noWrap w:val="0"/>
            <w:vAlign w:val="center"/>
          </w:tcPr>
          <w:p w14:paraId="16552DA6">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在中粮生物科技下属工厂及客户工厂未按照工厂规定，违规操作，未按照危险作业管理程序,违反危险作业管理要求或危险作业执行落实不到位，未造成危害的</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3784C2F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500元/次</w:t>
            </w:r>
          </w:p>
        </w:tc>
      </w:tr>
      <w:tr w14:paraId="3808BA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75" w:type="pct"/>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453955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12</w:t>
            </w:r>
          </w:p>
        </w:tc>
        <w:tc>
          <w:tcPr>
            <w:tcW w:w="3652"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EC1AE6D">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在中粮生物科技下属工厂及客户工厂未按照工厂规定，违规操作，未按照危险作业管理程序,违反危险作业管理要求或危险作业执行落实不到位，造成轻伤事故的</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0666700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1000元/次</w:t>
            </w:r>
          </w:p>
        </w:tc>
      </w:tr>
      <w:tr w14:paraId="4EE3DB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3" w:hRule="atLeast"/>
        </w:trPr>
        <w:tc>
          <w:tcPr>
            <w:tcW w:w="275" w:type="pct"/>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9B1490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13</w:t>
            </w:r>
          </w:p>
        </w:tc>
        <w:tc>
          <w:tcPr>
            <w:tcW w:w="3652"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ACA6E95">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在中粮生物科技下属工厂及客户工厂未按照工厂规定，违规操作，未按照危险作业管理程序,违反危险作业管理要求或危险作业执行落实不到位，造成重伤事故的</w:t>
            </w:r>
          </w:p>
        </w:tc>
        <w:tc>
          <w:tcPr>
            <w:tcW w:w="1071"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A67262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根据实际情况决定扣除额度，触犯法律的执行法律程序</w:t>
            </w:r>
          </w:p>
        </w:tc>
      </w:tr>
      <w:tr w14:paraId="27ED2F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3" w:hRule="atLeast"/>
        </w:trPr>
        <w:tc>
          <w:tcPr>
            <w:tcW w:w="275" w:type="pct"/>
            <w:tcBorders>
              <w:top w:val="single" w:color="000000" w:sz="8" w:space="0"/>
              <w:left w:val="single" w:color="000000" w:sz="8" w:space="0"/>
              <w:bottom w:val="single" w:color="000000" w:sz="8" w:space="0"/>
              <w:right w:val="single" w:color="000000" w:sz="8" w:space="0"/>
            </w:tcBorders>
            <w:noWrap w:val="0"/>
            <w:vAlign w:val="center"/>
          </w:tcPr>
          <w:p w14:paraId="1B81F35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14</w:t>
            </w:r>
          </w:p>
        </w:tc>
        <w:tc>
          <w:tcPr>
            <w:tcW w:w="3652" w:type="pct"/>
            <w:tcBorders>
              <w:top w:val="single" w:color="000000" w:sz="8" w:space="0"/>
              <w:left w:val="single" w:color="000000" w:sz="8" w:space="0"/>
              <w:bottom w:val="single" w:color="000000" w:sz="8" w:space="0"/>
              <w:right w:val="single" w:color="000000" w:sz="8" w:space="0"/>
            </w:tcBorders>
            <w:noWrap w:val="0"/>
            <w:vAlign w:val="center"/>
          </w:tcPr>
          <w:p w14:paraId="714A854F">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在中粮生物科技下属工厂及客户工厂未按照工厂规定，违规操作，未按照危险作业管理程序,违反危险作业管理要求或危险作业执行落实不到位，造成了企业财产损失在人民币5000元（含）以下的</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3DABA25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根据实际情况决定扣除额度</w:t>
            </w:r>
          </w:p>
        </w:tc>
      </w:tr>
      <w:tr w14:paraId="5006E7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3" w:hRule="atLeast"/>
        </w:trPr>
        <w:tc>
          <w:tcPr>
            <w:tcW w:w="275" w:type="pct"/>
            <w:tcBorders>
              <w:top w:val="single" w:color="000000" w:sz="8" w:space="0"/>
              <w:left w:val="single" w:color="000000" w:sz="8" w:space="0"/>
              <w:bottom w:val="single" w:color="000000" w:sz="8" w:space="0"/>
              <w:right w:val="single" w:color="000000" w:sz="8" w:space="0"/>
            </w:tcBorders>
            <w:noWrap w:val="0"/>
            <w:vAlign w:val="center"/>
          </w:tcPr>
          <w:p w14:paraId="66123A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15</w:t>
            </w:r>
          </w:p>
        </w:tc>
        <w:tc>
          <w:tcPr>
            <w:tcW w:w="3652" w:type="pct"/>
            <w:tcBorders>
              <w:top w:val="single" w:color="000000" w:sz="8" w:space="0"/>
              <w:left w:val="single" w:color="000000" w:sz="8" w:space="0"/>
              <w:bottom w:val="single" w:color="000000" w:sz="8" w:space="0"/>
              <w:right w:val="single" w:color="000000" w:sz="8" w:space="0"/>
            </w:tcBorders>
            <w:noWrap w:val="0"/>
            <w:vAlign w:val="center"/>
          </w:tcPr>
          <w:p w14:paraId="7175DBE2">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在中粮生物科技下属工厂及客户工厂未按照工厂规定，违规操作，未按照危险作业管理程序,违反危险作业管理要求或危险作业执行落实不到位，造成企业财产损失金额10000元（含）以下</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34010E1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根据实际情况决定扣除额度</w:t>
            </w:r>
          </w:p>
        </w:tc>
      </w:tr>
      <w:tr w14:paraId="70E59A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3" w:hRule="atLeast"/>
        </w:trPr>
        <w:tc>
          <w:tcPr>
            <w:tcW w:w="275" w:type="pct"/>
            <w:tcBorders>
              <w:top w:val="single" w:color="000000" w:sz="8" w:space="0"/>
              <w:left w:val="single" w:color="000000" w:sz="8" w:space="0"/>
              <w:bottom w:val="single" w:color="000000" w:sz="8" w:space="0"/>
              <w:right w:val="single" w:color="000000" w:sz="8" w:space="0"/>
            </w:tcBorders>
            <w:noWrap w:val="0"/>
            <w:vAlign w:val="center"/>
          </w:tcPr>
          <w:p w14:paraId="17617A1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16</w:t>
            </w:r>
          </w:p>
        </w:tc>
        <w:tc>
          <w:tcPr>
            <w:tcW w:w="3652" w:type="pct"/>
            <w:tcBorders>
              <w:top w:val="single" w:color="000000" w:sz="8" w:space="0"/>
              <w:left w:val="single" w:color="000000" w:sz="8" w:space="0"/>
              <w:bottom w:val="single" w:color="000000" w:sz="8" w:space="0"/>
              <w:right w:val="single" w:color="000000" w:sz="8" w:space="0"/>
            </w:tcBorders>
            <w:noWrap w:val="0"/>
            <w:vAlign w:val="center"/>
          </w:tcPr>
          <w:p w14:paraId="173B777C">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在中粮生物科技下属工厂及客户工厂未按照工厂规定，违规操作，未按照危险作业管理程序,违反危险作业管理要求或危险作业执行落实不到位，造成了企业财产损失金额10000元-20000元（含）</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07247E2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根据实际情况决定扣除额度</w:t>
            </w:r>
          </w:p>
        </w:tc>
      </w:tr>
      <w:tr w14:paraId="582264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3" w:hRule="atLeast"/>
        </w:trPr>
        <w:tc>
          <w:tcPr>
            <w:tcW w:w="275" w:type="pct"/>
            <w:tcBorders>
              <w:top w:val="single" w:color="000000" w:sz="8" w:space="0"/>
              <w:left w:val="single" w:color="000000" w:sz="8" w:space="0"/>
              <w:bottom w:val="single" w:color="000000" w:sz="8" w:space="0"/>
              <w:right w:val="single" w:color="000000" w:sz="8" w:space="0"/>
            </w:tcBorders>
            <w:noWrap w:val="0"/>
            <w:vAlign w:val="center"/>
          </w:tcPr>
          <w:p w14:paraId="4CD39D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17</w:t>
            </w:r>
          </w:p>
        </w:tc>
        <w:tc>
          <w:tcPr>
            <w:tcW w:w="3652" w:type="pct"/>
            <w:tcBorders>
              <w:top w:val="single" w:color="000000" w:sz="8" w:space="0"/>
              <w:left w:val="single" w:color="000000" w:sz="8" w:space="0"/>
              <w:bottom w:val="single" w:color="000000" w:sz="8" w:space="0"/>
              <w:right w:val="single" w:color="000000" w:sz="8" w:space="0"/>
            </w:tcBorders>
            <w:noWrap w:val="0"/>
            <w:vAlign w:val="center"/>
          </w:tcPr>
          <w:p w14:paraId="06BF5618">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在中粮生物科技下属工厂及客户工厂未按照工厂规定，违规操作，未按照危险作业管理程序,违反危险作业管理要求或危险作业执行落实不到位，造成了企业财产损失（20000元以上）</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3EEFF92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根据实际情况决定扣除额度</w:t>
            </w:r>
          </w:p>
        </w:tc>
      </w:tr>
      <w:tr w14:paraId="433A2E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3" w:hRule="atLeast"/>
        </w:trPr>
        <w:tc>
          <w:tcPr>
            <w:tcW w:w="275" w:type="pct"/>
            <w:tcBorders>
              <w:top w:val="single" w:color="000000" w:sz="8" w:space="0"/>
              <w:left w:val="single" w:color="000000" w:sz="8" w:space="0"/>
              <w:bottom w:val="single" w:color="000000" w:sz="8" w:space="0"/>
              <w:right w:val="single" w:color="000000" w:sz="8" w:space="0"/>
            </w:tcBorders>
            <w:noWrap w:val="0"/>
            <w:vAlign w:val="center"/>
          </w:tcPr>
          <w:p w14:paraId="1B21CE9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18</w:t>
            </w:r>
          </w:p>
        </w:tc>
        <w:tc>
          <w:tcPr>
            <w:tcW w:w="3652" w:type="pct"/>
            <w:tcBorders>
              <w:top w:val="single" w:color="000000" w:sz="8" w:space="0"/>
              <w:left w:val="single" w:color="000000" w:sz="8" w:space="0"/>
              <w:bottom w:val="single" w:color="000000" w:sz="8" w:space="0"/>
              <w:right w:val="single" w:color="000000" w:sz="8" w:space="0"/>
            </w:tcBorders>
            <w:noWrap w:val="0"/>
            <w:vAlign w:val="center"/>
          </w:tcPr>
          <w:p w14:paraId="0BEEC20A">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在中粮生物科技下属工厂及客户工厂未按照工厂规定，违规操作，将导电线直接插入插座中使用/非专业电工私自接线或开启电控柜</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6014A73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2000元/次</w:t>
            </w:r>
          </w:p>
        </w:tc>
      </w:tr>
      <w:tr w14:paraId="2BBD6B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3" w:hRule="atLeast"/>
        </w:trPr>
        <w:tc>
          <w:tcPr>
            <w:tcW w:w="275" w:type="pct"/>
            <w:tcBorders>
              <w:top w:val="single" w:color="000000" w:sz="8" w:space="0"/>
              <w:left w:val="single" w:color="000000" w:sz="8" w:space="0"/>
              <w:bottom w:val="single" w:color="000000" w:sz="8" w:space="0"/>
              <w:right w:val="single" w:color="000000" w:sz="8" w:space="0"/>
            </w:tcBorders>
            <w:noWrap w:val="0"/>
            <w:vAlign w:val="center"/>
          </w:tcPr>
          <w:p w14:paraId="4E92F00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19</w:t>
            </w:r>
          </w:p>
        </w:tc>
        <w:tc>
          <w:tcPr>
            <w:tcW w:w="3652" w:type="pct"/>
            <w:tcBorders>
              <w:top w:val="single" w:color="000000" w:sz="8" w:space="0"/>
              <w:left w:val="single" w:color="000000" w:sz="8" w:space="0"/>
              <w:bottom w:val="single" w:color="000000" w:sz="8" w:space="0"/>
              <w:right w:val="single" w:color="000000" w:sz="8" w:space="0"/>
            </w:tcBorders>
            <w:noWrap w:val="0"/>
            <w:vAlign w:val="center"/>
          </w:tcPr>
          <w:p w14:paraId="0F843EC0">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在中粮生物科技下属工厂及客户工厂未按照工厂规定，未及时清扫现场油污/废料/垃圾，不在规定地点倾倒的</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61ECF6F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200元/次</w:t>
            </w:r>
          </w:p>
        </w:tc>
      </w:tr>
      <w:tr w14:paraId="141328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3" w:hRule="atLeast"/>
        </w:trPr>
        <w:tc>
          <w:tcPr>
            <w:tcW w:w="275" w:type="pct"/>
            <w:tcBorders>
              <w:top w:val="single" w:color="000000" w:sz="8" w:space="0"/>
              <w:left w:val="single" w:color="000000" w:sz="8" w:space="0"/>
              <w:bottom w:val="single" w:color="000000" w:sz="8" w:space="0"/>
              <w:right w:val="single" w:color="000000" w:sz="8" w:space="0"/>
            </w:tcBorders>
            <w:noWrap w:val="0"/>
            <w:vAlign w:val="center"/>
          </w:tcPr>
          <w:p w14:paraId="0ABFB23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20</w:t>
            </w:r>
          </w:p>
        </w:tc>
        <w:tc>
          <w:tcPr>
            <w:tcW w:w="3652" w:type="pct"/>
            <w:tcBorders>
              <w:top w:val="single" w:color="000000" w:sz="8" w:space="0"/>
              <w:left w:val="single" w:color="000000" w:sz="8" w:space="0"/>
              <w:bottom w:val="single" w:color="000000" w:sz="8" w:space="0"/>
              <w:right w:val="single" w:color="000000" w:sz="8" w:space="0"/>
            </w:tcBorders>
            <w:noWrap w:val="0"/>
            <w:vAlign w:val="center"/>
          </w:tcPr>
          <w:p w14:paraId="69687DBA">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在中粮生物科技下属工厂及客户工厂未按照工厂规定，在现场作业时为违章操作，拒绝安全管理人员、保安人员及其他管理人员的合理检查，不听劝阻或出言不逊，态度恶劣，不服从管理者纠正的</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51ECFC2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2000元/人/次</w:t>
            </w:r>
          </w:p>
        </w:tc>
      </w:tr>
      <w:tr w14:paraId="02803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3" w:hRule="atLeast"/>
        </w:trPr>
        <w:tc>
          <w:tcPr>
            <w:tcW w:w="275" w:type="pct"/>
            <w:tcBorders>
              <w:top w:val="single" w:color="000000" w:sz="8" w:space="0"/>
              <w:left w:val="single" w:color="000000" w:sz="8" w:space="0"/>
              <w:bottom w:val="single" w:color="000000" w:sz="8" w:space="0"/>
              <w:right w:val="single" w:color="000000" w:sz="8" w:space="0"/>
            </w:tcBorders>
            <w:noWrap w:val="0"/>
            <w:vAlign w:val="center"/>
          </w:tcPr>
          <w:p w14:paraId="220AA5D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21</w:t>
            </w:r>
          </w:p>
        </w:tc>
        <w:tc>
          <w:tcPr>
            <w:tcW w:w="3652" w:type="pct"/>
            <w:tcBorders>
              <w:top w:val="single" w:color="000000" w:sz="8" w:space="0"/>
              <w:left w:val="single" w:color="000000" w:sz="8" w:space="0"/>
              <w:bottom w:val="single" w:color="000000" w:sz="8" w:space="0"/>
              <w:right w:val="single" w:color="000000" w:sz="8" w:space="0"/>
            </w:tcBorders>
            <w:noWrap w:val="0"/>
            <w:vAlign w:val="center"/>
          </w:tcPr>
          <w:p w14:paraId="2DCC5A97">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在中粮生物科技下属工厂及客户工厂未按照工厂规定，未经相关部门许可，在工作场所接电/水/气源的</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7416220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2000元/次</w:t>
            </w:r>
          </w:p>
        </w:tc>
      </w:tr>
      <w:tr w14:paraId="02BC23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3" w:hRule="atLeast"/>
        </w:trPr>
        <w:tc>
          <w:tcPr>
            <w:tcW w:w="275" w:type="pct"/>
            <w:tcBorders>
              <w:top w:val="single" w:color="000000" w:sz="8" w:space="0"/>
              <w:left w:val="single" w:color="000000" w:sz="8" w:space="0"/>
              <w:bottom w:val="single" w:color="000000" w:sz="8" w:space="0"/>
              <w:right w:val="single" w:color="000000" w:sz="8" w:space="0"/>
            </w:tcBorders>
            <w:noWrap w:val="0"/>
            <w:vAlign w:val="center"/>
          </w:tcPr>
          <w:p w14:paraId="5C4AF65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22</w:t>
            </w:r>
          </w:p>
        </w:tc>
        <w:tc>
          <w:tcPr>
            <w:tcW w:w="3652" w:type="pct"/>
            <w:tcBorders>
              <w:top w:val="single" w:color="000000" w:sz="8" w:space="0"/>
              <w:left w:val="single" w:color="000000" w:sz="8" w:space="0"/>
              <w:bottom w:val="single" w:color="000000" w:sz="8" w:space="0"/>
              <w:right w:val="single" w:color="000000" w:sz="8" w:space="0"/>
            </w:tcBorders>
            <w:noWrap w:val="0"/>
            <w:vAlign w:val="center"/>
          </w:tcPr>
          <w:p w14:paraId="0CDAF5B5">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在中粮生物科技下属工厂及客户工厂违反工厂安全管理规定，不使用符合安全要求的各种起吊设备/工具/吊索具的，在起吊重物时在警戒线内逗留、行走或从事其他工作的。</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4452B56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5000元/次</w:t>
            </w:r>
          </w:p>
        </w:tc>
      </w:tr>
      <w:tr w14:paraId="6E7735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3" w:hRule="atLeast"/>
        </w:trPr>
        <w:tc>
          <w:tcPr>
            <w:tcW w:w="275" w:type="pct"/>
            <w:tcBorders>
              <w:top w:val="single" w:color="000000" w:sz="8" w:space="0"/>
              <w:left w:val="single" w:color="000000" w:sz="8" w:space="0"/>
              <w:bottom w:val="single" w:color="000000" w:sz="8" w:space="0"/>
              <w:right w:val="single" w:color="000000" w:sz="8" w:space="0"/>
            </w:tcBorders>
            <w:noWrap w:val="0"/>
            <w:vAlign w:val="center"/>
          </w:tcPr>
          <w:p w14:paraId="0568EC9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23</w:t>
            </w:r>
          </w:p>
        </w:tc>
        <w:tc>
          <w:tcPr>
            <w:tcW w:w="3652" w:type="pct"/>
            <w:tcBorders>
              <w:top w:val="single" w:color="000000" w:sz="8" w:space="0"/>
              <w:left w:val="single" w:color="000000" w:sz="8" w:space="0"/>
              <w:bottom w:val="single" w:color="000000" w:sz="8" w:space="0"/>
              <w:right w:val="single" w:color="000000" w:sz="8" w:space="0"/>
            </w:tcBorders>
            <w:noWrap w:val="0"/>
            <w:vAlign w:val="center"/>
          </w:tcPr>
          <w:p w14:paraId="4570FC83">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在中粮生物科技下属工厂及客户工厂违反工厂安全管理规定，擅自拆除设备上的安全照明/报警信号/防护装置的</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3E2E852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5000元/台</w:t>
            </w:r>
          </w:p>
        </w:tc>
      </w:tr>
      <w:tr w14:paraId="77FF3A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75" w:type="pct"/>
            <w:tcBorders>
              <w:top w:val="single" w:color="000000" w:sz="8" w:space="0"/>
              <w:left w:val="single" w:color="000000" w:sz="8" w:space="0"/>
              <w:bottom w:val="single" w:color="000000" w:sz="8" w:space="0"/>
              <w:right w:val="single" w:color="000000" w:sz="8" w:space="0"/>
            </w:tcBorders>
            <w:noWrap w:val="0"/>
            <w:vAlign w:val="center"/>
          </w:tcPr>
          <w:p w14:paraId="444616B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24</w:t>
            </w:r>
          </w:p>
        </w:tc>
        <w:tc>
          <w:tcPr>
            <w:tcW w:w="3652" w:type="pct"/>
            <w:tcBorders>
              <w:top w:val="single" w:color="000000" w:sz="8" w:space="0"/>
              <w:left w:val="single" w:color="000000" w:sz="8" w:space="0"/>
              <w:bottom w:val="single" w:color="000000" w:sz="8" w:space="0"/>
              <w:right w:val="single" w:color="000000" w:sz="8" w:space="0"/>
            </w:tcBorders>
            <w:noWrap w:val="0"/>
            <w:vAlign w:val="center"/>
          </w:tcPr>
          <w:p w14:paraId="47DC2916">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在中粮生物科技下属工厂及客户工厂未按照工厂规定，破坏、伪造事故现场，影响事故调查的</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1AAB32B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50000元/次</w:t>
            </w:r>
          </w:p>
        </w:tc>
      </w:tr>
      <w:tr w14:paraId="5170A9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75" w:type="pct"/>
            <w:tcBorders>
              <w:top w:val="single" w:color="000000" w:sz="8" w:space="0"/>
              <w:left w:val="single" w:color="000000" w:sz="8" w:space="0"/>
              <w:bottom w:val="single" w:color="000000" w:sz="8" w:space="0"/>
              <w:right w:val="single" w:color="000000" w:sz="8" w:space="0"/>
            </w:tcBorders>
            <w:noWrap w:val="0"/>
            <w:vAlign w:val="center"/>
          </w:tcPr>
          <w:p w14:paraId="7F18BF5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25</w:t>
            </w:r>
          </w:p>
        </w:tc>
        <w:tc>
          <w:tcPr>
            <w:tcW w:w="3652" w:type="pct"/>
            <w:tcBorders>
              <w:top w:val="single" w:color="000000" w:sz="8" w:space="0"/>
              <w:left w:val="single" w:color="000000" w:sz="8" w:space="0"/>
              <w:bottom w:val="single" w:color="000000" w:sz="8" w:space="0"/>
              <w:right w:val="single" w:color="000000" w:sz="8" w:space="0"/>
            </w:tcBorders>
            <w:noWrap w:val="0"/>
            <w:vAlign w:val="center"/>
          </w:tcPr>
          <w:p w14:paraId="7F9D9581">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在中粮生物科技下属工厂及客户工厂，无视已发现的安全隐患，不整改或整改不及时/不彻底</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12AB941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10000元/次</w:t>
            </w:r>
          </w:p>
        </w:tc>
      </w:tr>
      <w:tr w14:paraId="1C2FF6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75" w:type="pct"/>
            <w:tcBorders>
              <w:top w:val="single" w:color="000000" w:sz="8" w:space="0"/>
              <w:left w:val="single" w:color="000000" w:sz="8" w:space="0"/>
              <w:bottom w:val="single" w:color="000000" w:sz="8" w:space="0"/>
              <w:right w:val="single" w:color="000000" w:sz="8" w:space="0"/>
            </w:tcBorders>
            <w:noWrap w:val="0"/>
            <w:vAlign w:val="center"/>
          </w:tcPr>
          <w:p w14:paraId="4B7BA17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26</w:t>
            </w:r>
          </w:p>
        </w:tc>
        <w:tc>
          <w:tcPr>
            <w:tcW w:w="3652" w:type="pct"/>
            <w:tcBorders>
              <w:top w:val="single" w:color="000000" w:sz="8" w:space="0"/>
              <w:left w:val="single" w:color="000000" w:sz="8" w:space="0"/>
              <w:bottom w:val="single" w:color="000000" w:sz="8" w:space="0"/>
              <w:right w:val="single" w:color="000000" w:sz="8" w:space="0"/>
            </w:tcBorders>
            <w:noWrap w:val="0"/>
            <w:vAlign w:val="center"/>
          </w:tcPr>
          <w:p w14:paraId="3912C618">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在中粮生物科技下属工厂及客户工厂违反工厂安全管理规定，触犯其他红线行为</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748C943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10000元/次</w:t>
            </w:r>
          </w:p>
        </w:tc>
      </w:tr>
      <w:tr w14:paraId="688CFA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75" w:type="pct"/>
            <w:tcBorders>
              <w:top w:val="single" w:color="000000" w:sz="8" w:space="0"/>
              <w:left w:val="single" w:color="000000" w:sz="8" w:space="0"/>
              <w:bottom w:val="single" w:color="000000" w:sz="8" w:space="0"/>
              <w:right w:val="single" w:color="000000" w:sz="8" w:space="0"/>
            </w:tcBorders>
            <w:noWrap w:val="0"/>
            <w:vAlign w:val="center"/>
          </w:tcPr>
          <w:p w14:paraId="0D86F6C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27</w:t>
            </w:r>
          </w:p>
        </w:tc>
        <w:tc>
          <w:tcPr>
            <w:tcW w:w="3652" w:type="pct"/>
            <w:tcBorders>
              <w:top w:val="single" w:color="000000" w:sz="8" w:space="0"/>
              <w:left w:val="single" w:color="000000" w:sz="8" w:space="0"/>
              <w:bottom w:val="single" w:color="000000" w:sz="8" w:space="0"/>
              <w:right w:val="single" w:color="000000" w:sz="8" w:space="0"/>
            </w:tcBorders>
            <w:noWrap w:val="0"/>
            <w:vAlign w:val="center"/>
          </w:tcPr>
          <w:p w14:paraId="684C08C8">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在中粮生物科技下属工厂及客户工厂在工作场所打闹、嬉戏、奔跑</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0C20D3F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500元/人/次</w:t>
            </w:r>
          </w:p>
        </w:tc>
      </w:tr>
      <w:tr w14:paraId="0B8FD3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3" w:hRule="atLeast"/>
        </w:trPr>
        <w:tc>
          <w:tcPr>
            <w:tcW w:w="275" w:type="pct"/>
            <w:tcBorders>
              <w:top w:val="single" w:color="000000" w:sz="8" w:space="0"/>
              <w:left w:val="single" w:color="000000" w:sz="8" w:space="0"/>
              <w:bottom w:val="single" w:color="000000" w:sz="8" w:space="0"/>
              <w:right w:val="single" w:color="000000" w:sz="8" w:space="0"/>
            </w:tcBorders>
            <w:noWrap w:val="0"/>
            <w:vAlign w:val="center"/>
          </w:tcPr>
          <w:p w14:paraId="425522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28</w:t>
            </w:r>
          </w:p>
        </w:tc>
        <w:tc>
          <w:tcPr>
            <w:tcW w:w="3652" w:type="pct"/>
            <w:tcBorders>
              <w:top w:val="single" w:color="000000" w:sz="8" w:space="0"/>
              <w:left w:val="single" w:color="000000" w:sz="8" w:space="0"/>
              <w:bottom w:val="single" w:color="000000" w:sz="8" w:space="0"/>
              <w:right w:val="single" w:color="000000" w:sz="8" w:space="0"/>
            </w:tcBorders>
            <w:noWrap w:val="0"/>
            <w:vAlign w:val="center"/>
          </w:tcPr>
          <w:p w14:paraId="7F04EDF4">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在中粮生物科技下属工厂及客户工厂在公司厂区内随地吐痰、乱扔垃圾（车内）等有损公共卫生之事</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18A2940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200元/人/次</w:t>
            </w:r>
          </w:p>
        </w:tc>
      </w:tr>
      <w:tr w14:paraId="21660C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3" w:hRule="atLeast"/>
        </w:trPr>
        <w:tc>
          <w:tcPr>
            <w:tcW w:w="275" w:type="pct"/>
            <w:tcBorders>
              <w:top w:val="single" w:color="000000" w:sz="8" w:space="0"/>
              <w:left w:val="single" w:color="000000" w:sz="8" w:space="0"/>
              <w:bottom w:val="single" w:color="000000" w:sz="8" w:space="0"/>
              <w:right w:val="single" w:color="000000" w:sz="8" w:space="0"/>
            </w:tcBorders>
            <w:noWrap w:val="0"/>
            <w:vAlign w:val="center"/>
          </w:tcPr>
          <w:p w14:paraId="4F1E047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29</w:t>
            </w:r>
          </w:p>
        </w:tc>
        <w:tc>
          <w:tcPr>
            <w:tcW w:w="3652" w:type="pct"/>
            <w:tcBorders>
              <w:top w:val="single" w:color="000000" w:sz="8" w:space="0"/>
              <w:left w:val="single" w:color="000000" w:sz="8" w:space="0"/>
              <w:bottom w:val="single" w:color="000000" w:sz="8" w:space="0"/>
              <w:right w:val="single" w:color="000000" w:sz="8" w:space="0"/>
            </w:tcBorders>
            <w:noWrap w:val="0"/>
            <w:vAlign w:val="center"/>
          </w:tcPr>
          <w:p w14:paraId="061ED084">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在中粮生物科技下属工厂及客户工厂未经允许私自拿走工厂的可回收废弃物（包括但不限于废旧包装物、纸板等）、产品及其他财物等</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1502C7A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10000元/次</w:t>
            </w:r>
          </w:p>
        </w:tc>
      </w:tr>
      <w:tr w14:paraId="002C84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75" w:type="pct"/>
            <w:tcBorders>
              <w:top w:val="single" w:color="000000" w:sz="8" w:space="0"/>
              <w:left w:val="single" w:color="000000" w:sz="8" w:space="0"/>
              <w:bottom w:val="single" w:color="000000" w:sz="8" w:space="0"/>
              <w:right w:val="single" w:color="000000" w:sz="8" w:space="0"/>
            </w:tcBorders>
            <w:noWrap w:val="0"/>
            <w:vAlign w:val="center"/>
          </w:tcPr>
          <w:p w14:paraId="55E660E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30</w:t>
            </w:r>
          </w:p>
        </w:tc>
        <w:tc>
          <w:tcPr>
            <w:tcW w:w="3652" w:type="pct"/>
            <w:tcBorders>
              <w:top w:val="single" w:color="000000" w:sz="8" w:space="0"/>
              <w:left w:val="single" w:color="000000" w:sz="8" w:space="0"/>
              <w:bottom w:val="single" w:color="000000" w:sz="8" w:space="0"/>
              <w:right w:val="single" w:color="000000" w:sz="8" w:space="0"/>
            </w:tcBorders>
            <w:noWrap w:val="0"/>
            <w:vAlign w:val="center"/>
          </w:tcPr>
          <w:p w14:paraId="0C83A121">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在中粮生物科技下属工厂及客户工厂在工厂厂区内寻衅滋事、打架</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64B7D97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500元/人/次</w:t>
            </w:r>
          </w:p>
        </w:tc>
      </w:tr>
      <w:tr w14:paraId="178E82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75" w:type="pct"/>
            <w:tcBorders>
              <w:top w:val="single" w:color="000000" w:sz="8" w:space="0"/>
              <w:left w:val="single" w:color="000000" w:sz="8" w:space="0"/>
              <w:bottom w:val="single" w:color="000000" w:sz="8" w:space="0"/>
              <w:right w:val="single" w:color="000000" w:sz="8" w:space="0"/>
            </w:tcBorders>
            <w:noWrap w:val="0"/>
            <w:vAlign w:val="center"/>
          </w:tcPr>
          <w:p w14:paraId="7F2FBEA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31</w:t>
            </w:r>
          </w:p>
        </w:tc>
        <w:tc>
          <w:tcPr>
            <w:tcW w:w="3652" w:type="pct"/>
            <w:tcBorders>
              <w:top w:val="single" w:color="000000" w:sz="8" w:space="0"/>
              <w:left w:val="single" w:color="000000" w:sz="8" w:space="0"/>
              <w:bottom w:val="single" w:color="000000" w:sz="8" w:space="0"/>
              <w:right w:val="single" w:color="000000" w:sz="8" w:space="0"/>
            </w:tcBorders>
            <w:noWrap w:val="0"/>
            <w:vAlign w:val="center"/>
          </w:tcPr>
          <w:p w14:paraId="080B7F2C">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不按装车排序指令装车、不按调整装车顺序指令装车、加塞、站位、不服从工厂指挥</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70A732D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500元/车/次</w:t>
            </w:r>
          </w:p>
        </w:tc>
      </w:tr>
      <w:tr w14:paraId="2F921B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75" w:type="pct"/>
            <w:tcBorders>
              <w:top w:val="single" w:color="000000" w:sz="8" w:space="0"/>
              <w:left w:val="single" w:color="000000" w:sz="8" w:space="0"/>
              <w:bottom w:val="single" w:color="000000" w:sz="8" w:space="0"/>
              <w:right w:val="single" w:color="000000" w:sz="8" w:space="0"/>
            </w:tcBorders>
            <w:noWrap w:val="0"/>
            <w:vAlign w:val="center"/>
          </w:tcPr>
          <w:p w14:paraId="4C43CEF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32</w:t>
            </w:r>
          </w:p>
        </w:tc>
        <w:tc>
          <w:tcPr>
            <w:tcW w:w="3652" w:type="pct"/>
            <w:tcBorders>
              <w:top w:val="single" w:color="000000" w:sz="8" w:space="0"/>
              <w:left w:val="single" w:color="000000" w:sz="8" w:space="0"/>
              <w:bottom w:val="single" w:color="000000" w:sz="8" w:space="0"/>
              <w:right w:val="single" w:color="000000" w:sz="8" w:space="0"/>
            </w:tcBorders>
            <w:noWrap w:val="0"/>
            <w:vAlign w:val="center"/>
          </w:tcPr>
          <w:p w14:paraId="1C6B3CFA">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物流服务供应商内部因管理不善造成司机罢工，影响工厂发货超过24小时</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6D62817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2000元/车/次</w:t>
            </w:r>
          </w:p>
          <w:p w14:paraId="1269C39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根据影响程度追加扣除</w:t>
            </w:r>
          </w:p>
        </w:tc>
      </w:tr>
      <w:tr w14:paraId="6835E5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75" w:type="pct"/>
            <w:tcBorders>
              <w:top w:val="single" w:color="000000" w:sz="8" w:space="0"/>
              <w:left w:val="single" w:color="000000" w:sz="8" w:space="0"/>
              <w:bottom w:val="single" w:color="000000" w:sz="8" w:space="0"/>
              <w:right w:val="single" w:color="000000" w:sz="8" w:space="0"/>
            </w:tcBorders>
            <w:noWrap w:val="0"/>
            <w:vAlign w:val="center"/>
          </w:tcPr>
          <w:p w14:paraId="2A80EB3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33</w:t>
            </w:r>
          </w:p>
        </w:tc>
        <w:tc>
          <w:tcPr>
            <w:tcW w:w="3652" w:type="pct"/>
            <w:tcBorders>
              <w:top w:val="single" w:color="000000" w:sz="8" w:space="0"/>
              <w:left w:val="single" w:color="000000" w:sz="8" w:space="0"/>
              <w:bottom w:val="single" w:color="000000" w:sz="8" w:space="0"/>
              <w:right w:val="single" w:color="000000" w:sz="8" w:space="0"/>
            </w:tcBorders>
            <w:noWrap w:val="0"/>
            <w:vAlign w:val="center"/>
          </w:tcPr>
          <w:p w14:paraId="534A3771">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运输非食品的槽罐车不允许运输淀粉糖浆、不允许运输玉米油，前三载证明、清洁证书必须真实，违反此规定，在工厂灌装前验罐发现的</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12F1801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拒绝灌装并扣除</w:t>
            </w:r>
          </w:p>
          <w:p w14:paraId="78ACB59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10000元/车/次</w:t>
            </w:r>
          </w:p>
        </w:tc>
      </w:tr>
      <w:tr w14:paraId="06CE8B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75" w:type="pct"/>
            <w:tcBorders>
              <w:top w:val="single" w:color="000000" w:sz="8" w:space="0"/>
              <w:left w:val="single" w:color="000000" w:sz="8" w:space="0"/>
              <w:bottom w:val="single" w:color="000000" w:sz="8" w:space="0"/>
              <w:right w:val="single" w:color="000000" w:sz="8" w:space="0"/>
            </w:tcBorders>
            <w:noWrap w:val="0"/>
            <w:vAlign w:val="center"/>
          </w:tcPr>
          <w:p w14:paraId="53DFB75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34</w:t>
            </w:r>
          </w:p>
        </w:tc>
        <w:tc>
          <w:tcPr>
            <w:tcW w:w="3652" w:type="pct"/>
            <w:tcBorders>
              <w:top w:val="single" w:color="000000" w:sz="8" w:space="0"/>
              <w:left w:val="single" w:color="000000" w:sz="8" w:space="0"/>
              <w:bottom w:val="single" w:color="000000" w:sz="8" w:space="0"/>
              <w:right w:val="single" w:color="000000" w:sz="8" w:space="0"/>
            </w:tcBorders>
            <w:noWrap w:val="0"/>
            <w:vAlign w:val="center"/>
          </w:tcPr>
          <w:p w14:paraId="7BBE7664">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运输非食品的槽罐车不允许运输淀粉糖浆、不允许运输玉米油，前三载证明、清洁证书必须真实，违反此规定，在客户工厂发现的</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752E4B7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结合客户工厂处置情况决定扣除标准</w:t>
            </w:r>
          </w:p>
        </w:tc>
      </w:tr>
      <w:tr w14:paraId="645EB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75" w:type="pct"/>
            <w:tcBorders>
              <w:top w:val="single" w:color="000000" w:sz="8" w:space="0"/>
              <w:left w:val="single" w:color="000000" w:sz="8" w:space="0"/>
              <w:bottom w:val="single" w:color="000000" w:sz="8" w:space="0"/>
              <w:right w:val="single" w:color="000000" w:sz="8" w:space="0"/>
            </w:tcBorders>
            <w:noWrap w:val="0"/>
            <w:vAlign w:val="center"/>
          </w:tcPr>
          <w:p w14:paraId="5911A73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35</w:t>
            </w:r>
          </w:p>
        </w:tc>
        <w:tc>
          <w:tcPr>
            <w:tcW w:w="3652" w:type="pct"/>
            <w:tcBorders>
              <w:top w:val="single" w:color="000000" w:sz="8" w:space="0"/>
              <w:left w:val="single" w:color="000000" w:sz="8" w:space="0"/>
              <w:bottom w:val="single" w:color="000000" w:sz="8" w:space="0"/>
              <w:right w:val="single" w:color="000000" w:sz="8" w:space="0"/>
            </w:tcBorders>
            <w:noWrap w:val="0"/>
            <w:vAlign w:val="center"/>
          </w:tcPr>
          <w:p w14:paraId="2D98A0A1">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运输非食品的槽罐车不允许运输淀粉糖浆、不允许运输玉米油，前三载证明、清洁证书必须真实，违反此规定被媒体曝光的</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438CCCB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根据给中粮生物科技造成的实际损失及声誉损害程度决定扣除标准，触犯法律的执行法律程序</w:t>
            </w:r>
          </w:p>
        </w:tc>
      </w:tr>
      <w:tr w14:paraId="517521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75" w:type="pct"/>
            <w:tcBorders>
              <w:top w:val="single" w:color="000000" w:sz="8" w:space="0"/>
              <w:left w:val="single" w:color="000000" w:sz="8" w:space="0"/>
              <w:bottom w:val="single" w:color="000000" w:sz="8" w:space="0"/>
              <w:right w:val="single" w:color="000000" w:sz="8" w:space="0"/>
            </w:tcBorders>
            <w:noWrap w:val="0"/>
            <w:vAlign w:val="center"/>
          </w:tcPr>
          <w:p w14:paraId="4F8C72D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36</w:t>
            </w:r>
          </w:p>
        </w:tc>
        <w:tc>
          <w:tcPr>
            <w:tcW w:w="3652" w:type="pct"/>
            <w:tcBorders>
              <w:top w:val="single" w:color="000000" w:sz="8" w:space="0"/>
              <w:left w:val="single" w:color="000000" w:sz="8" w:space="0"/>
              <w:bottom w:val="single" w:color="000000" w:sz="8" w:space="0"/>
              <w:right w:val="single" w:color="000000" w:sz="8" w:space="0"/>
            </w:tcBorders>
            <w:noWrap w:val="0"/>
            <w:vAlign w:val="center"/>
          </w:tcPr>
          <w:p w14:paraId="59E8BFA5">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运输淀粉糖浆、运输玉米油，在客户工厂发现槽罐铅封损坏、丢失或更换，空罐返回工厂发现铅封损坏、丢失或更换的</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66FAC2B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10000元/车/次并结合客户工厂处置结果决定应承担的责任</w:t>
            </w:r>
          </w:p>
        </w:tc>
      </w:tr>
      <w:tr w14:paraId="04DEA3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75" w:type="pct"/>
            <w:tcBorders>
              <w:top w:val="single" w:color="000000" w:sz="8" w:space="0"/>
              <w:left w:val="single" w:color="000000" w:sz="8" w:space="0"/>
              <w:bottom w:val="single" w:color="000000" w:sz="8" w:space="0"/>
              <w:right w:val="single" w:color="000000" w:sz="8" w:space="0"/>
            </w:tcBorders>
            <w:noWrap w:val="0"/>
            <w:vAlign w:val="center"/>
          </w:tcPr>
          <w:p w14:paraId="5C5891A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37</w:t>
            </w:r>
          </w:p>
        </w:tc>
        <w:tc>
          <w:tcPr>
            <w:tcW w:w="3652" w:type="pct"/>
            <w:tcBorders>
              <w:top w:val="single" w:color="000000" w:sz="8" w:space="0"/>
              <w:left w:val="single" w:color="000000" w:sz="8" w:space="0"/>
              <w:bottom w:val="single" w:color="000000" w:sz="8" w:space="0"/>
              <w:right w:val="single" w:color="000000" w:sz="8" w:space="0"/>
            </w:tcBorders>
            <w:noWrap w:val="0"/>
            <w:vAlign w:val="center"/>
          </w:tcPr>
          <w:p w14:paraId="6082BD63">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未经我司允许随意变更送货地址，发生开甲送乙行为</w:t>
            </w:r>
          </w:p>
        </w:tc>
        <w:tc>
          <w:tcPr>
            <w:tcW w:w="1071" w:type="pct"/>
            <w:tcBorders>
              <w:top w:val="single" w:color="000000" w:sz="8" w:space="0"/>
              <w:left w:val="single" w:color="000000" w:sz="8" w:space="0"/>
              <w:bottom w:val="single" w:color="000000" w:sz="8" w:space="0"/>
              <w:right w:val="single" w:color="000000" w:sz="8" w:space="0"/>
            </w:tcBorders>
            <w:noWrap w:val="0"/>
            <w:vAlign w:val="center"/>
          </w:tcPr>
          <w:p w14:paraId="1733DCD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10000元/车/次，再次发生同时取消供应商资格</w:t>
            </w:r>
          </w:p>
        </w:tc>
      </w:tr>
    </w:tbl>
    <w:p w14:paraId="162476BA">
      <w:pPr>
        <w:keepNext w:val="0"/>
        <w:keepLines w:val="0"/>
        <w:pageBreakBefore w:val="0"/>
        <w:widowControl/>
        <w:suppressLineNumbers w:val="0"/>
        <w:kinsoku/>
        <w:wordWrap/>
        <w:overflowPunct/>
        <w:topLinePunct w:val="0"/>
        <w:autoSpaceDE/>
        <w:autoSpaceDN/>
        <w:bidi w:val="0"/>
        <w:adjustRightInd/>
        <w:snapToGrid/>
        <w:spacing w:line="560" w:lineRule="exact"/>
        <w:jc w:val="both"/>
        <w:textAlignment w:val="auto"/>
        <w:rPr>
          <w:rFonts w:hint="eastAsia" w:ascii="宋体" w:hAnsi="宋体" w:eastAsia="宋体" w:cs="宋体"/>
          <w:b/>
          <w:bCs/>
          <w:color w:val="000000"/>
          <w:kern w:val="0"/>
          <w:sz w:val="24"/>
          <w:szCs w:val="24"/>
          <w:highlight w:val="none"/>
          <w:lang w:val="en-US" w:eastAsia="zh-CN" w:bidi="ar"/>
        </w:rPr>
      </w:pPr>
      <w:r>
        <w:rPr>
          <w:rFonts w:hint="eastAsia" w:ascii="宋体" w:hAnsi="宋体" w:eastAsia="宋体" w:cs="宋体"/>
          <w:b/>
          <w:bCs/>
          <w:color w:val="000000"/>
          <w:kern w:val="0"/>
          <w:sz w:val="24"/>
          <w:szCs w:val="24"/>
          <w:highlight w:val="none"/>
          <w:lang w:val="en-US" w:eastAsia="zh-CN" w:bidi="ar"/>
        </w:rPr>
        <w:t>备注：如客户工厂规定的禁止行为规定标准高于此标准，按严格的规定执行。</w:t>
      </w:r>
    </w:p>
    <w:p w14:paraId="585CE3C6">
      <w:pPr>
        <w:widowControl/>
        <w:spacing w:line="320" w:lineRule="atLeast"/>
        <w:ind w:firstLine="403" w:firstLineChars="192"/>
        <w:jc w:val="left"/>
        <w:rPr>
          <w:rFonts w:hint="eastAsia" w:ascii="宋体" w:hAnsi="宋体" w:eastAsia="宋体" w:cs="宋体"/>
          <w:szCs w:val="21"/>
          <w:highlight w:val="none"/>
        </w:rPr>
      </w:pPr>
      <w:r>
        <w:rPr>
          <w:rFonts w:hint="eastAsia" w:ascii="宋体" w:hAnsi="宋体" w:eastAsia="宋体" w:cs="宋体"/>
          <w:szCs w:val="21"/>
          <w:highlight w:val="none"/>
          <w:lang w:val="en-US" w:eastAsia="zh-CN"/>
        </w:rPr>
        <w:t>本公司（单位）郑重声明，若我单位成为本次采购项目的成交供应商，将严格按照《中粮生物科技物流服务供应商禁止行为其他管理要求》中所有条款及要求，全面、合规、如实地执行各项运输服务，确保运输流程安全、规范，完全符合协议约定标准。若存在任何虚假承诺行为，我单位自愿依法承担由此产生的全部法律责任、经济赔偿责任及其他相关一切责任，接受相应处罚。</w:t>
      </w:r>
    </w:p>
    <w:p w14:paraId="30ED2574">
      <w:pPr>
        <w:snapToGrid w:val="0"/>
        <w:spacing w:line="360" w:lineRule="auto"/>
        <w:ind w:right="24" w:firstLine="440" w:firstLineChars="200"/>
        <w:jc w:val="right"/>
        <w:rPr>
          <w:rFonts w:hint="eastAsia" w:ascii="宋体" w:hAnsi="宋体" w:eastAsia="宋体" w:cs="宋体"/>
          <w:color w:val="auto"/>
          <w:sz w:val="22"/>
          <w:szCs w:val="20"/>
          <w:highlight w:val="none"/>
        </w:rPr>
      </w:pPr>
      <w:r>
        <w:rPr>
          <w:rFonts w:hint="eastAsia" w:ascii="宋体" w:hAnsi="宋体" w:eastAsia="宋体" w:cs="宋体"/>
          <w:color w:val="auto"/>
          <w:sz w:val="22"/>
          <w:szCs w:val="20"/>
          <w:highlight w:val="none"/>
        </w:rPr>
        <w:t>供应商：</w:t>
      </w:r>
      <w:r>
        <w:rPr>
          <w:rFonts w:hint="eastAsia" w:ascii="宋体" w:hAnsi="宋体" w:eastAsia="宋体" w:cs="宋体"/>
          <w:snapToGrid w:val="0"/>
          <w:color w:val="auto"/>
          <w:sz w:val="22"/>
          <w:szCs w:val="20"/>
          <w:highlight w:val="none"/>
          <w:u w:val="single"/>
        </w:rPr>
        <w:t xml:space="preserve">                  （盖章）</w:t>
      </w:r>
    </w:p>
    <w:p w14:paraId="12D8CC39">
      <w:pPr>
        <w:snapToGrid w:val="0"/>
        <w:spacing w:line="360" w:lineRule="auto"/>
        <w:ind w:left="420" w:leftChars="200" w:firstLine="440" w:firstLineChars="200"/>
        <w:jc w:val="right"/>
        <w:rPr>
          <w:rFonts w:hint="eastAsia" w:ascii="宋体" w:hAnsi="宋体" w:eastAsia="宋体" w:cs="宋体"/>
          <w:b/>
          <w:bCs/>
          <w:color w:val="auto"/>
          <w:sz w:val="24"/>
          <w:szCs w:val="21"/>
          <w:highlight w:val="none"/>
          <w:lang w:bidi="ar"/>
        </w:rPr>
      </w:pPr>
      <w:r>
        <w:rPr>
          <w:rFonts w:hint="eastAsia" w:ascii="宋体" w:hAnsi="宋体" w:eastAsia="宋体" w:cs="宋体"/>
          <w:snapToGrid w:val="0"/>
          <w:color w:val="auto"/>
          <w:sz w:val="22"/>
          <w:szCs w:val="20"/>
          <w:highlight w:val="none"/>
          <w:u w:val="single"/>
        </w:rPr>
        <w:t xml:space="preserve">   </w:t>
      </w:r>
      <w:r>
        <w:rPr>
          <w:rFonts w:hint="eastAsia" w:ascii="宋体" w:hAnsi="宋体" w:eastAsia="宋体" w:cs="宋体"/>
          <w:snapToGrid w:val="0"/>
          <w:color w:val="auto"/>
          <w:kern w:val="0"/>
          <w:sz w:val="22"/>
          <w:szCs w:val="20"/>
          <w:highlight w:val="none"/>
          <w:u w:val="single"/>
        </w:rPr>
        <w:t xml:space="preserve">  </w:t>
      </w:r>
      <w:r>
        <w:rPr>
          <w:rFonts w:hint="eastAsia" w:ascii="宋体" w:hAnsi="宋体" w:eastAsia="宋体" w:cs="宋体"/>
          <w:snapToGrid w:val="0"/>
          <w:color w:val="auto"/>
          <w:kern w:val="0"/>
          <w:sz w:val="22"/>
          <w:szCs w:val="20"/>
          <w:highlight w:val="none"/>
        </w:rPr>
        <w:t>年</w:t>
      </w:r>
      <w:r>
        <w:rPr>
          <w:rFonts w:hint="eastAsia" w:ascii="宋体" w:hAnsi="宋体" w:eastAsia="宋体" w:cs="宋体"/>
          <w:snapToGrid w:val="0"/>
          <w:color w:val="auto"/>
          <w:sz w:val="22"/>
          <w:szCs w:val="20"/>
          <w:highlight w:val="none"/>
          <w:u w:val="single"/>
        </w:rPr>
        <w:t xml:space="preserve">   </w:t>
      </w:r>
      <w:r>
        <w:rPr>
          <w:rFonts w:hint="eastAsia" w:ascii="宋体" w:hAnsi="宋体" w:eastAsia="宋体" w:cs="宋体"/>
          <w:snapToGrid w:val="0"/>
          <w:color w:val="auto"/>
          <w:kern w:val="0"/>
          <w:sz w:val="22"/>
          <w:szCs w:val="20"/>
          <w:highlight w:val="none"/>
          <w:u w:val="single"/>
        </w:rPr>
        <w:t xml:space="preserve">  </w:t>
      </w:r>
      <w:r>
        <w:rPr>
          <w:rFonts w:hint="eastAsia" w:ascii="宋体" w:hAnsi="宋体" w:eastAsia="宋体" w:cs="宋体"/>
          <w:snapToGrid w:val="0"/>
          <w:color w:val="auto"/>
          <w:kern w:val="0"/>
          <w:sz w:val="22"/>
          <w:szCs w:val="20"/>
          <w:highlight w:val="none"/>
        </w:rPr>
        <w:t>月</w:t>
      </w:r>
      <w:r>
        <w:rPr>
          <w:rFonts w:hint="eastAsia" w:ascii="宋体" w:hAnsi="宋体" w:eastAsia="宋体" w:cs="宋体"/>
          <w:snapToGrid w:val="0"/>
          <w:color w:val="auto"/>
          <w:sz w:val="22"/>
          <w:szCs w:val="20"/>
          <w:highlight w:val="none"/>
          <w:u w:val="single"/>
        </w:rPr>
        <w:t xml:space="preserve">   </w:t>
      </w:r>
      <w:r>
        <w:rPr>
          <w:rFonts w:hint="eastAsia" w:ascii="宋体" w:hAnsi="宋体" w:eastAsia="宋体" w:cs="宋体"/>
          <w:snapToGrid w:val="0"/>
          <w:color w:val="auto"/>
          <w:kern w:val="0"/>
          <w:sz w:val="22"/>
          <w:szCs w:val="20"/>
          <w:highlight w:val="none"/>
          <w:u w:val="single"/>
        </w:rPr>
        <w:t xml:space="preserve">  </w:t>
      </w:r>
      <w:r>
        <w:rPr>
          <w:rFonts w:hint="eastAsia" w:ascii="宋体" w:hAnsi="宋体" w:eastAsia="宋体" w:cs="宋体"/>
          <w:snapToGrid w:val="0"/>
          <w:color w:val="auto"/>
          <w:kern w:val="0"/>
          <w:sz w:val="22"/>
          <w:szCs w:val="20"/>
          <w:highlight w:val="none"/>
        </w:rPr>
        <w:t>日</w:t>
      </w:r>
    </w:p>
    <w:p w14:paraId="55F438E7">
      <w:pPr>
        <w:widowControl/>
        <w:adjustRightInd w:val="0"/>
        <w:snapToGrid w:val="0"/>
        <w:spacing w:line="360" w:lineRule="auto"/>
        <w:ind w:firstLine="422" w:firstLineChars="200"/>
        <w:jc w:val="right"/>
        <w:rPr>
          <w:rFonts w:hint="eastAsia" w:ascii="宋体" w:hAnsi="宋体" w:eastAsia="宋体" w:cs="宋体"/>
          <w:snapToGrid w:val="0"/>
          <w:color w:val="auto"/>
          <w:kern w:val="0"/>
          <w:sz w:val="24"/>
          <w:highlight w:val="none"/>
          <w:lang w:bidi="en-US"/>
        </w:rPr>
      </w:pPr>
      <w:r>
        <w:rPr>
          <w:rFonts w:hint="eastAsia" w:ascii="宋体" w:hAnsi="宋体" w:eastAsia="宋体" w:cs="宋体"/>
          <w:b/>
          <w:bCs/>
          <w:color w:val="auto"/>
          <w:szCs w:val="21"/>
          <w:highlight w:val="none"/>
          <w:lang w:bidi="ar"/>
        </w:rPr>
        <w:br w:type="page"/>
      </w:r>
    </w:p>
    <w:p w14:paraId="0CB3ED82">
      <w:pPr>
        <w:snapToGrid w:val="0"/>
        <w:spacing w:line="360" w:lineRule="auto"/>
        <w:rPr>
          <w:rFonts w:hint="eastAsia" w:ascii="宋体" w:hAnsi="宋体" w:eastAsia="宋体" w:cs="宋体"/>
          <w:b/>
          <w:bCs/>
          <w:snapToGrid w:val="0"/>
          <w:color w:val="auto"/>
          <w:kern w:val="0"/>
          <w:sz w:val="24"/>
          <w:highlight w:val="none"/>
          <w:lang w:val="en-US" w:eastAsia="zh-CN" w:bidi="en-US"/>
        </w:rPr>
      </w:pPr>
      <w:r>
        <w:rPr>
          <w:rFonts w:hint="eastAsia" w:ascii="宋体" w:hAnsi="宋体" w:eastAsia="宋体" w:cs="宋体"/>
          <w:b/>
          <w:bCs/>
          <w:snapToGrid w:val="0"/>
          <w:color w:val="auto"/>
          <w:kern w:val="0"/>
          <w:sz w:val="24"/>
          <w:highlight w:val="none"/>
          <w:lang w:bidi="en-US"/>
        </w:rPr>
        <w:t>附件</w:t>
      </w:r>
      <w:r>
        <w:rPr>
          <w:rFonts w:hint="eastAsia" w:ascii="宋体" w:hAnsi="宋体" w:eastAsia="宋体" w:cs="宋体"/>
          <w:b/>
          <w:bCs/>
          <w:snapToGrid w:val="0"/>
          <w:color w:val="auto"/>
          <w:kern w:val="0"/>
          <w:sz w:val="24"/>
          <w:highlight w:val="none"/>
          <w:lang w:val="en-US" w:eastAsia="zh-CN" w:bidi="en-US"/>
        </w:rPr>
        <w:t>13</w:t>
      </w:r>
    </w:p>
    <w:p w14:paraId="3F284746">
      <w:pPr>
        <w:snapToGrid w:val="0"/>
        <w:spacing w:line="360" w:lineRule="auto"/>
        <w:jc w:val="center"/>
        <w:rPr>
          <w:rFonts w:hint="eastAsia" w:ascii="宋体" w:hAnsi="宋体" w:eastAsia="宋体" w:cs="宋体"/>
          <w:b/>
          <w:snapToGrid w:val="0"/>
          <w:color w:val="auto"/>
          <w:sz w:val="28"/>
          <w:szCs w:val="20"/>
          <w:highlight w:val="none"/>
          <w:lang w:val="en-US" w:eastAsia="zh-CN" w:bidi="en-US"/>
        </w:rPr>
      </w:pPr>
      <w:r>
        <w:rPr>
          <w:rFonts w:hint="eastAsia" w:ascii="宋体" w:hAnsi="宋体" w:eastAsia="宋体" w:cs="宋体"/>
          <w:b/>
          <w:snapToGrid w:val="0"/>
          <w:color w:val="auto"/>
          <w:sz w:val="28"/>
          <w:szCs w:val="20"/>
          <w:highlight w:val="none"/>
          <w:lang w:val="en-US" w:eastAsia="zh-CN" w:bidi="en-US"/>
        </w:rPr>
        <w:t>车辆清单</w:t>
      </w:r>
    </w:p>
    <w:tbl>
      <w:tblPr>
        <w:tblStyle w:val="3"/>
        <w:tblW w:w="4998" w:type="pct"/>
        <w:jc w:val="center"/>
        <w:tblLayout w:type="autofit"/>
        <w:tblCellMar>
          <w:top w:w="0" w:type="dxa"/>
          <w:left w:w="108" w:type="dxa"/>
          <w:bottom w:w="0" w:type="dxa"/>
          <w:right w:w="108" w:type="dxa"/>
        </w:tblCellMar>
      </w:tblPr>
      <w:tblGrid>
        <w:gridCol w:w="537"/>
        <w:gridCol w:w="1470"/>
        <w:gridCol w:w="530"/>
        <w:gridCol w:w="929"/>
        <w:gridCol w:w="1860"/>
        <w:gridCol w:w="1596"/>
        <w:gridCol w:w="1597"/>
      </w:tblGrid>
      <w:tr w14:paraId="0EC6476C">
        <w:tblPrEx>
          <w:tblCellMar>
            <w:top w:w="0" w:type="dxa"/>
            <w:left w:w="108" w:type="dxa"/>
            <w:bottom w:w="0" w:type="dxa"/>
            <w:right w:w="108" w:type="dxa"/>
          </w:tblCellMar>
        </w:tblPrEx>
        <w:trPr>
          <w:trHeight w:val="660" w:hRule="atLeast"/>
          <w:jc w:val="center"/>
        </w:trPr>
        <w:tc>
          <w:tcPr>
            <w:tcW w:w="315" w:type="pct"/>
            <w:tcBorders>
              <w:top w:val="single" w:color="000000" w:sz="4" w:space="0"/>
              <w:left w:val="single" w:color="000000" w:sz="4" w:space="0"/>
              <w:bottom w:val="single" w:color="000000" w:sz="4" w:space="0"/>
              <w:right w:val="single" w:color="000000" w:sz="4" w:space="0"/>
            </w:tcBorders>
            <w:noWrap w:val="0"/>
            <w:vAlign w:val="center"/>
          </w:tcPr>
          <w:p w14:paraId="2435A8B5">
            <w:pPr>
              <w:widowControl/>
              <w:jc w:val="center"/>
              <w:rPr>
                <w:rFonts w:hint="eastAsia" w:ascii="宋体" w:hAnsi="宋体" w:eastAsia="宋体" w:cs="宋体"/>
                <w:b/>
                <w:bCs/>
                <w:color w:val="000000"/>
                <w:kern w:val="0"/>
                <w:szCs w:val="21"/>
                <w:highlight w:val="none"/>
              </w:rPr>
            </w:pPr>
            <w:r>
              <w:rPr>
                <w:rFonts w:hint="eastAsia" w:ascii="宋体" w:hAnsi="宋体" w:eastAsia="宋体" w:cs="宋体"/>
                <w:b/>
                <w:bCs/>
                <w:color w:val="000000"/>
                <w:kern w:val="0"/>
                <w:szCs w:val="21"/>
                <w:highlight w:val="none"/>
              </w:rPr>
              <w:t>序号</w:t>
            </w:r>
          </w:p>
        </w:tc>
        <w:tc>
          <w:tcPr>
            <w:tcW w:w="862" w:type="pct"/>
            <w:tcBorders>
              <w:top w:val="single" w:color="000000" w:sz="4" w:space="0"/>
              <w:left w:val="single" w:color="000000" w:sz="4" w:space="0"/>
              <w:bottom w:val="single" w:color="000000" w:sz="4" w:space="0"/>
              <w:right w:val="single" w:color="000000" w:sz="4" w:space="0"/>
            </w:tcBorders>
            <w:noWrap w:val="0"/>
            <w:vAlign w:val="center"/>
          </w:tcPr>
          <w:p w14:paraId="475D429C">
            <w:pPr>
              <w:widowControl/>
              <w:jc w:val="center"/>
              <w:rPr>
                <w:rFonts w:hint="eastAsia" w:ascii="宋体" w:hAnsi="宋体" w:eastAsia="宋体" w:cs="宋体"/>
                <w:b/>
                <w:bCs/>
                <w:color w:val="000000"/>
                <w:kern w:val="0"/>
                <w:szCs w:val="21"/>
                <w:highlight w:val="none"/>
              </w:rPr>
            </w:pPr>
            <w:r>
              <w:rPr>
                <w:rFonts w:hint="eastAsia" w:ascii="宋体" w:hAnsi="宋体" w:eastAsia="宋体" w:cs="宋体"/>
                <w:b/>
                <w:bCs/>
                <w:color w:val="000000"/>
                <w:kern w:val="0"/>
                <w:szCs w:val="21"/>
                <w:highlight w:val="none"/>
              </w:rPr>
              <w:t>车牌号</w:t>
            </w:r>
            <w:r>
              <w:rPr>
                <w:rFonts w:hint="eastAsia" w:ascii="宋体" w:hAnsi="宋体" w:eastAsia="宋体" w:cs="宋体"/>
                <w:b/>
                <w:color w:val="000000"/>
                <w:kern w:val="0"/>
                <w:szCs w:val="21"/>
                <w:highlight w:val="none"/>
              </w:rPr>
              <w:t>（提供行驶证）</w:t>
            </w:r>
          </w:p>
        </w:tc>
        <w:tc>
          <w:tcPr>
            <w:tcW w:w="311" w:type="pct"/>
            <w:tcBorders>
              <w:top w:val="single" w:color="000000" w:sz="4" w:space="0"/>
              <w:left w:val="single" w:color="000000" w:sz="4" w:space="0"/>
              <w:bottom w:val="single" w:color="000000" w:sz="4" w:space="0"/>
              <w:right w:val="single" w:color="000000" w:sz="4" w:space="0"/>
            </w:tcBorders>
            <w:noWrap w:val="0"/>
            <w:vAlign w:val="center"/>
          </w:tcPr>
          <w:p w14:paraId="2DA8C1AC">
            <w:pPr>
              <w:widowControl/>
              <w:jc w:val="center"/>
              <w:rPr>
                <w:rFonts w:hint="eastAsia" w:ascii="宋体" w:hAnsi="宋体" w:eastAsia="宋体" w:cs="宋体"/>
                <w:b/>
                <w:bCs/>
                <w:color w:val="000000"/>
                <w:kern w:val="0"/>
                <w:szCs w:val="21"/>
                <w:highlight w:val="none"/>
              </w:rPr>
            </w:pPr>
            <w:r>
              <w:rPr>
                <w:rFonts w:hint="eastAsia" w:ascii="宋体" w:hAnsi="宋体" w:eastAsia="宋体" w:cs="宋体"/>
                <w:b/>
                <w:bCs/>
                <w:color w:val="000000"/>
                <w:kern w:val="0"/>
                <w:szCs w:val="21"/>
                <w:highlight w:val="none"/>
              </w:rPr>
              <w:t>车型</w:t>
            </w:r>
          </w:p>
        </w:tc>
        <w:tc>
          <w:tcPr>
            <w:tcW w:w="545" w:type="pct"/>
            <w:tcBorders>
              <w:top w:val="single" w:color="000000" w:sz="4" w:space="0"/>
              <w:left w:val="single" w:color="000000" w:sz="4" w:space="0"/>
              <w:bottom w:val="single" w:color="000000" w:sz="4" w:space="0"/>
              <w:right w:val="single" w:color="000000" w:sz="4" w:space="0"/>
            </w:tcBorders>
            <w:noWrap w:val="0"/>
            <w:vAlign w:val="center"/>
          </w:tcPr>
          <w:p w14:paraId="449871D6">
            <w:pPr>
              <w:widowControl/>
              <w:jc w:val="center"/>
              <w:rPr>
                <w:rFonts w:hint="eastAsia" w:ascii="宋体" w:hAnsi="宋体" w:eastAsia="宋体" w:cs="宋体"/>
                <w:b/>
                <w:bCs/>
                <w:color w:val="000000"/>
                <w:kern w:val="0"/>
                <w:szCs w:val="21"/>
                <w:highlight w:val="none"/>
              </w:rPr>
            </w:pPr>
            <w:r>
              <w:rPr>
                <w:rFonts w:hint="eastAsia" w:ascii="宋体" w:hAnsi="宋体" w:eastAsia="宋体" w:cs="宋体"/>
                <w:b/>
                <w:bCs/>
                <w:color w:val="000000"/>
                <w:kern w:val="0"/>
                <w:szCs w:val="21"/>
                <w:highlight w:val="none"/>
              </w:rPr>
              <w:t>牵引载重</w:t>
            </w:r>
          </w:p>
        </w:tc>
        <w:tc>
          <w:tcPr>
            <w:tcW w:w="1091" w:type="pct"/>
            <w:tcBorders>
              <w:top w:val="single" w:color="000000" w:sz="4" w:space="0"/>
              <w:left w:val="single" w:color="000000" w:sz="4" w:space="0"/>
              <w:bottom w:val="single" w:color="000000" w:sz="4" w:space="0"/>
              <w:right w:val="single" w:color="000000" w:sz="4" w:space="0"/>
            </w:tcBorders>
            <w:noWrap w:val="0"/>
            <w:vAlign w:val="center"/>
          </w:tcPr>
          <w:p w14:paraId="132CE86C">
            <w:pPr>
              <w:widowControl/>
              <w:jc w:val="center"/>
              <w:rPr>
                <w:rFonts w:hint="eastAsia" w:ascii="宋体" w:hAnsi="宋体" w:eastAsia="宋体" w:cs="宋体"/>
                <w:b/>
                <w:bCs/>
                <w:color w:val="000000"/>
                <w:kern w:val="0"/>
                <w:szCs w:val="21"/>
                <w:highlight w:val="none"/>
              </w:rPr>
            </w:pPr>
            <w:r>
              <w:rPr>
                <w:rFonts w:hint="eastAsia" w:ascii="宋体" w:hAnsi="宋体" w:eastAsia="宋体" w:cs="宋体"/>
                <w:b/>
                <w:bCs/>
                <w:color w:val="000000"/>
                <w:kern w:val="0"/>
                <w:szCs w:val="21"/>
                <w:highlight w:val="none"/>
              </w:rPr>
              <w:t>状态（自有/租赁/</w:t>
            </w:r>
            <w:r>
              <w:rPr>
                <w:rFonts w:hint="eastAsia" w:ascii="宋体" w:hAnsi="宋体" w:eastAsia="宋体" w:cs="宋体"/>
                <w:b/>
                <w:szCs w:val="21"/>
                <w:highlight w:val="none"/>
              </w:rPr>
              <w:t>协议/委托运输</w:t>
            </w:r>
            <w:r>
              <w:rPr>
                <w:rFonts w:hint="eastAsia" w:ascii="宋体" w:hAnsi="宋体" w:eastAsia="宋体" w:cs="宋体"/>
                <w:b/>
                <w:bCs/>
                <w:color w:val="000000"/>
                <w:kern w:val="0"/>
                <w:szCs w:val="21"/>
                <w:highlight w:val="none"/>
              </w:rPr>
              <w:t>）</w:t>
            </w:r>
          </w:p>
        </w:tc>
        <w:tc>
          <w:tcPr>
            <w:tcW w:w="936" w:type="pct"/>
            <w:tcBorders>
              <w:top w:val="single" w:color="000000" w:sz="4" w:space="0"/>
              <w:left w:val="single" w:color="000000" w:sz="4" w:space="0"/>
              <w:bottom w:val="single" w:color="000000" w:sz="4" w:space="0"/>
              <w:right w:val="single" w:color="000000" w:sz="4" w:space="0"/>
            </w:tcBorders>
            <w:noWrap w:val="0"/>
            <w:vAlign w:val="center"/>
          </w:tcPr>
          <w:p w14:paraId="5AABFA36">
            <w:pPr>
              <w:widowControl/>
              <w:jc w:val="center"/>
              <w:rPr>
                <w:rFonts w:hint="eastAsia" w:ascii="宋体" w:hAnsi="宋体" w:eastAsia="宋体" w:cs="宋体"/>
                <w:b/>
                <w:bCs/>
                <w:color w:val="000000"/>
                <w:kern w:val="0"/>
                <w:szCs w:val="21"/>
                <w:highlight w:val="none"/>
              </w:rPr>
            </w:pPr>
            <w:r>
              <w:rPr>
                <w:rFonts w:hint="eastAsia" w:ascii="宋体" w:hAnsi="宋体" w:eastAsia="宋体" w:cs="宋体"/>
                <w:b/>
                <w:bCs/>
                <w:color w:val="000000"/>
                <w:kern w:val="0"/>
                <w:szCs w:val="21"/>
                <w:highlight w:val="none"/>
              </w:rPr>
              <w:t>司机姓名1</w:t>
            </w:r>
            <w:r>
              <w:rPr>
                <w:rFonts w:hint="eastAsia" w:ascii="宋体" w:hAnsi="宋体" w:eastAsia="宋体" w:cs="宋体"/>
                <w:b/>
                <w:bCs/>
                <w:color w:val="000000"/>
                <w:kern w:val="0"/>
                <w:szCs w:val="21"/>
                <w:highlight w:val="none"/>
              </w:rPr>
              <w:br w:type="textWrapping"/>
            </w:r>
            <w:r>
              <w:rPr>
                <w:rFonts w:hint="eastAsia" w:ascii="宋体" w:hAnsi="宋体" w:eastAsia="宋体" w:cs="宋体"/>
                <w:b/>
                <w:color w:val="000000"/>
                <w:kern w:val="0"/>
                <w:szCs w:val="21"/>
                <w:highlight w:val="none"/>
              </w:rPr>
              <w:t>（提供驾驶证）</w:t>
            </w:r>
          </w:p>
        </w:tc>
        <w:tc>
          <w:tcPr>
            <w:tcW w:w="936" w:type="pct"/>
            <w:tcBorders>
              <w:top w:val="single" w:color="000000" w:sz="4" w:space="0"/>
              <w:left w:val="single" w:color="000000" w:sz="4" w:space="0"/>
              <w:bottom w:val="single" w:color="000000" w:sz="4" w:space="0"/>
              <w:right w:val="single" w:color="000000" w:sz="4" w:space="0"/>
            </w:tcBorders>
            <w:noWrap w:val="0"/>
            <w:vAlign w:val="center"/>
          </w:tcPr>
          <w:p w14:paraId="5B62EB0D">
            <w:pPr>
              <w:widowControl/>
              <w:jc w:val="center"/>
              <w:rPr>
                <w:rFonts w:hint="eastAsia" w:ascii="宋体" w:hAnsi="宋体" w:eastAsia="宋体" w:cs="宋体"/>
                <w:b/>
                <w:bCs/>
                <w:color w:val="000000"/>
                <w:kern w:val="0"/>
                <w:szCs w:val="21"/>
                <w:highlight w:val="none"/>
              </w:rPr>
            </w:pPr>
            <w:r>
              <w:rPr>
                <w:rFonts w:hint="eastAsia" w:ascii="宋体" w:hAnsi="宋体" w:eastAsia="宋体" w:cs="宋体"/>
                <w:b/>
                <w:bCs/>
                <w:color w:val="000000"/>
                <w:kern w:val="0"/>
                <w:szCs w:val="21"/>
                <w:highlight w:val="none"/>
              </w:rPr>
              <w:t>司机姓名2</w:t>
            </w:r>
            <w:r>
              <w:rPr>
                <w:rFonts w:hint="eastAsia" w:ascii="宋体" w:hAnsi="宋体" w:eastAsia="宋体" w:cs="宋体"/>
                <w:b/>
                <w:bCs/>
                <w:color w:val="000000"/>
                <w:kern w:val="0"/>
                <w:szCs w:val="21"/>
                <w:highlight w:val="none"/>
              </w:rPr>
              <w:br w:type="textWrapping"/>
            </w:r>
            <w:r>
              <w:rPr>
                <w:rFonts w:hint="eastAsia" w:ascii="宋体" w:hAnsi="宋体" w:eastAsia="宋体" w:cs="宋体"/>
                <w:b/>
                <w:color w:val="000000"/>
                <w:kern w:val="0"/>
                <w:szCs w:val="21"/>
                <w:highlight w:val="none"/>
              </w:rPr>
              <w:t>（提供驾驶证）</w:t>
            </w:r>
          </w:p>
        </w:tc>
      </w:tr>
      <w:tr w14:paraId="751C4715">
        <w:tblPrEx>
          <w:tblCellMar>
            <w:top w:w="0" w:type="dxa"/>
            <w:left w:w="108" w:type="dxa"/>
            <w:bottom w:w="0" w:type="dxa"/>
            <w:right w:w="108" w:type="dxa"/>
          </w:tblCellMar>
        </w:tblPrEx>
        <w:trPr>
          <w:trHeight w:val="400" w:hRule="atLeast"/>
          <w:jc w:val="center"/>
        </w:trPr>
        <w:tc>
          <w:tcPr>
            <w:tcW w:w="315" w:type="pct"/>
            <w:tcBorders>
              <w:top w:val="single" w:color="000000" w:sz="4" w:space="0"/>
              <w:left w:val="single" w:color="000000" w:sz="4" w:space="0"/>
              <w:bottom w:val="single" w:color="000000" w:sz="4" w:space="0"/>
              <w:right w:val="single" w:color="000000" w:sz="4" w:space="0"/>
            </w:tcBorders>
            <w:noWrap/>
            <w:vAlign w:val="center"/>
          </w:tcPr>
          <w:p w14:paraId="2D7F852A">
            <w:pPr>
              <w:widowControl/>
              <w:jc w:val="center"/>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1</w:t>
            </w:r>
          </w:p>
        </w:tc>
        <w:tc>
          <w:tcPr>
            <w:tcW w:w="862" w:type="pct"/>
            <w:tcBorders>
              <w:top w:val="single" w:color="000000" w:sz="4" w:space="0"/>
              <w:left w:val="single" w:color="000000" w:sz="4" w:space="0"/>
              <w:bottom w:val="single" w:color="000000" w:sz="4" w:space="0"/>
              <w:right w:val="single" w:color="000000" w:sz="4" w:space="0"/>
            </w:tcBorders>
            <w:noWrap/>
            <w:vAlign w:val="center"/>
          </w:tcPr>
          <w:p w14:paraId="20170D76">
            <w:pPr>
              <w:widowControl/>
              <w:jc w:val="center"/>
              <w:rPr>
                <w:rFonts w:hint="eastAsia" w:ascii="宋体" w:hAnsi="宋体" w:eastAsia="宋体" w:cs="宋体"/>
                <w:color w:val="000000"/>
                <w:kern w:val="0"/>
                <w:szCs w:val="21"/>
                <w:highlight w:val="none"/>
              </w:rPr>
            </w:pPr>
          </w:p>
        </w:tc>
        <w:tc>
          <w:tcPr>
            <w:tcW w:w="311" w:type="pct"/>
            <w:tcBorders>
              <w:top w:val="single" w:color="000000" w:sz="4" w:space="0"/>
              <w:left w:val="single" w:color="000000" w:sz="4" w:space="0"/>
              <w:bottom w:val="single" w:color="000000" w:sz="4" w:space="0"/>
              <w:right w:val="single" w:color="000000" w:sz="4" w:space="0"/>
            </w:tcBorders>
            <w:noWrap/>
            <w:vAlign w:val="center"/>
          </w:tcPr>
          <w:p w14:paraId="497DF6F1">
            <w:pPr>
              <w:widowControl/>
              <w:jc w:val="center"/>
              <w:rPr>
                <w:rFonts w:hint="eastAsia" w:ascii="宋体" w:hAnsi="宋体" w:eastAsia="宋体" w:cs="宋体"/>
                <w:color w:val="000000"/>
                <w:kern w:val="0"/>
                <w:szCs w:val="21"/>
                <w:highlight w:val="none"/>
              </w:rPr>
            </w:pPr>
          </w:p>
        </w:tc>
        <w:tc>
          <w:tcPr>
            <w:tcW w:w="545" w:type="pct"/>
            <w:tcBorders>
              <w:top w:val="single" w:color="000000" w:sz="4" w:space="0"/>
              <w:left w:val="single" w:color="000000" w:sz="4" w:space="0"/>
              <w:bottom w:val="single" w:color="000000" w:sz="4" w:space="0"/>
              <w:right w:val="single" w:color="000000" w:sz="4" w:space="0"/>
            </w:tcBorders>
            <w:noWrap/>
            <w:vAlign w:val="center"/>
          </w:tcPr>
          <w:p w14:paraId="709409FF">
            <w:pPr>
              <w:widowControl/>
              <w:jc w:val="center"/>
              <w:rPr>
                <w:rFonts w:hint="eastAsia" w:ascii="宋体" w:hAnsi="宋体" w:eastAsia="宋体" w:cs="宋体"/>
                <w:color w:val="000000"/>
                <w:kern w:val="0"/>
                <w:szCs w:val="21"/>
                <w:highlight w:val="none"/>
              </w:rPr>
            </w:pPr>
          </w:p>
        </w:tc>
        <w:tc>
          <w:tcPr>
            <w:tcW w:w="1091" w:type="pct"/>
            <w:tcBorders>
              <w:top w:val="single" w:color="000000" w:sz="4" w:space="0"/>
              <w:left w:val="single" w:color="000000" w:sz="4" w:space="0"/>
              <w:bottom w:val="single" w:color="000000" w:sz="4" w:space="0"/>
              <w:right w:val="single" w:color="000000" w:sz="4" w:space="0"/>
            </w:tcBorders>
            <w:noWrap/>
            <w:vAlign w:val="center"/>
          </w:tcPr>
          <w:p w14:paraId="0481A713">
            <w:pPr>
              <w:widowControl/>
              <w:jc w:val="center"/>
              <w:rPr>
                <w:rFonts w:hint="eastAsia" w:ascii="宋体" w:hAnsi="宋体" w:eastAsia="宋体" w:cs="宋体"/>
                <w:color w:val="000000"/>
                <w:kern w:val="0"/>
                <w:szCs w:val="21"/>
                <w:highlight w:val="none"/>
              </w:rPr>
            </w:pPr>
          </w:p>
        </w:tc>
        <w:tc>
          <w:tcPr>
            <w:tcW w:w="936" w:type="pct"/>
            <w:tcBorders>
              <w:top w:val="single" w:color="000000" w:sz="4" w:space="0"/>
              <w:left w:val="single" w:color="000000" w:sz="4" w:space="0"/>
              <w:bottom w:val="single" w:color="000000" w:sz="4" w:space="0"/>
              <w:right w:val="single" w:color="000000" w:sz="4" w:space="0"/>
            </w:tcBorders>
            <w:noWrap/>
            <w:vAlign w:val="center"/>
          </w:tcPr>
          <w:p w14:paraId="6D19C570">
            <w:pPr>
              <w:widowControl/>
              <w:jc w:val="left"/>
              <w:rPr>
                <w:rFonts w:hint="eastAsia" w:ascii="宋体" w:hAnsi="宋体" w:eastAsia="宋体" w:cs="宋体"/>
                <w:color w:val="000000"/>
                <w:kern w:val="0"/>
                <w:szCs w:val="21"/>
                <w:highlight w:val="none"/>
              </w:rPr>
            </w:pPr>
          </w:p>
        </w:tc>
        <w:tc>
          <w:tcPr>
            <w:tcW w:w="936" w:type="pct"/>
            <w:tcBorders>
              <w:top w:val="single" w:color="000000" w:sz="4" w:space="0"/>
              <w:left w:val="single" w:color="000000" w:sz="4" w:space="0"/>
              <w:bottom w:val="single" w:color="000000" w:sz="4" w:space="0"/>
              <w:right w:val="single" w:color="000000" w:sz="4" w:space="0"/>
            </w:tcBorders>
            <w:noWrap/>
            <w:vAlign w:val="center"/>
          </w:tcPr>
          <w:p w14:paraId="0979310B">
            <w:pPr>
              <w:widowControl/>
              <w:jc w:val="left"/>
              <w:rPr>
                <w:rFonts w:hint="eastAsia" w:ascii="宋体" w:hAnsi="宋体" w:eastAsia="宋体" w:cs="宋体"/>
                <w:color w:val="000000"/>
                <w:kern w:val="0"/>
                <w:szCs w:val="21"/>
                <w:highlight w:val="none"/>
              </w:rPr>
            </w:pPr>
          </w:p>
        </w:tc>
      </w:tr>
      <w:tr w14:paraId="6F3BED1F">
        <w:tblPrEx>
          <w:tblCellMar>
            <w:top w:w="0" w:type="dxa"/>
            <w:left w:w="108" w:type="dxa"/>
            <w:bottom w:w="0" w:type="dxa"/>
            <w:right w:w="108" w:type="dxa"/>
          </w:tblCellMar>
        </w:tblPrEx>
        <w:trPr>
          <w:trHeight w:val="400" w:hRule="atLeast"/>
          <w:jc w:val="center"/>
        </w:trPr>
        <w:tc>
          <w:tcPr>
            <w:tcW w:w="315" w:type="pct"/>
            <w:tcBorders>
              <w:top w:val="single" w:color="000000" w:sz="4" w:space="0"/>
              <w:left w:val="single" w:color="000000" w:sz="4" w:space="0"/>
              <w:bottom w:val="single" w:color="000000" w:sz="4" w:space="0"/>
              <w:right w:val="single" w:color="000000" w:sz="4" w:space="0"/>
            </w:tcBorders>
            <w:noWrap/>
            <w:vAlign w:val="center"/>
          </w:tcPr>
          <w:p w14:paraId="4138C66D">
            <w:pPr>
              <w:widowControl/>
              <w:jc w:val="center"/>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2</w:t>
            </w:r>
          </w:p>
        </w:tc>
        <w:tc>
          <w:tcPr>
            <w:tcW w:w="862" w:type="pct"/>
            <w:tcBorders>
              <w:top w:val="single" w:color="000000" w:sz="4" w:space="0"/>
              <w:left w:val="single" w:color="000000" w:sz="4" w:space="0"/>
              <w:bottom w:val="single" w:color="000000" w:sz="4" w:space="0"/>
              <w:right w:val="single" w:color="000000" w:sz="4" w:space="0"/>
            </w:tcBorders>
            <w:noWrap/>
            <w:vAlign w:val="center"/>
          </w:tcPr>
          <w:p w14:paraId="30650CD2">
            <w:pPr>
              <w:widowControl/>
              <w:jc w:val="center"/>
              <w:rPr>
                <w:rFonts w:hint="eastAsia" w:ascii="宋体" w:hAnsi="宋体" w:eastAsia="宋体" w:cs="宋体"/>
                <w:color w:val="000000"/>
                <w:kern w:val="0"/>
                <w:szCs w:val="21"/>
                <w:highlight w:val="none"/>
              </w:rPr>
            </w:pPr>
          </w:p>
        </w:tc>
        <w:tc>
          <w:tcPr>
            <w:tcW w:w="311" w:type="pct"/>
            <w:tcBorders>
              <w:top w:val="single" w:color="000000" w:sz="4" w:space="0"/>
              <w:left w:val="single" w:color="000000" w:sz="4" w:space="0"/>
              <w:bottom w:val="single" w:color="000000" w:sz="4" w:space="0"/>
              <w:right w:val="single" w:color="000000" w:sz="4" w:space="0"/>
            </w:tcBorders>
            <w:noWrap/>
            <w:vAlign w:val="center"/>
          </w:tcPr>
          <w:p w14:paraId="53E72631">
            <w:pPr>
              <w:widowControl/>
              <w:jc w:val="center"/>
              <w:rPr>
                <w:rFonts w:hint="eastAsia" w:ascii="宋体" w:hAnsi="宋体" w:eastAsia="宋体" w:cs="宋体"/>
                <w:color w:val="000000"/>
                <w:kern w:val="0"/>
                <w:szCs w:val="21"/>
                <w:highlight w:val="none"/>
              </w:rPr>
            </w:pPr>
          </w:p>
        </w:tc>
        <w:tc>
          <w:tcPr>
            <w:tcW w:w="545" w:type="pct"/>
            <w:tcBorders>
              <w:top w:val="single" w:color="000000" w:sz="4" w:space="0"/>
              <w:left w:val="single" w:color="000000" w:sz="4" w:space="0"/>
              <w:bottom w:val="single" w:color="000000" w:sz="4" w:space="0"/>
              <w:right w:val="single" w:color="000000" w:sz="4" w:space="0"/>
            </w:tcBorders>
            <w:noWrap/>
            <w:vAlign w:val="center"/>
          </w:tcPr>
          <w:p w14:paraId="5C092260">
            <w:pPr>
              <w:widowControl/>
              <w:jc w:val="center"/>
              <w:rPr>
                <w:rFonts w:hint="eastAsia" w:ascii="宋体" w:hAnsi="宋体" w:eastAsia="宋体" w:cs="宋体"/>
                <w:color w:val="000000"/>
                <w:kern w:val="0"/>
                <w:szCs w:val="21"/>
                <w:highlight w:val="none"/>
              </w:rPr>
            </w:pPr>
          </w:p>
        </w:tc>
        <w:tc>
          <w:tcPr>
            <w:tcW w:w="1091" w:type="pct"/>
            <w:tcBorders>
              <w:top w:val="single" w:color="000000" w:sz="4" w:space="0"/>
              <w:left w:val="single" w:color="000000" w:sz="4" w:space="0"/>
              <w:bottom w:val="single" w:color="000000" w:sz="4" w:space="0"/>
              <w:right w:val="single" w:color="000000" w:sz="4" w:space="0"/>
            </w:tcBorders>
            <w:noWrap/>
            <w:vAlign w:val="center"/>
          </w:tcPr>
          <w:p w14:paraId="3214300D">
            <w:pPr>
              <w:widowControl/>
              <w:jc w:val="center"/>
              <w:rPr>
                <w:rFonts w:hint="eastAsia" w:ascii="宋体" w:hAnsi="宋体" w:eastAsia="宋体" w:cs="宋体"/>
                <w:color w:val="000000"/>
                <w:kern w:val="0"/>
                <w:szCs w:val="21"/>
                <w:highlight w:val="none"/>
              </w:rPr>
            </w:pPr>
          </w:p>
        </w:tc>
        <w:tc>
          <w:tcPr>
            <w:tcW w:w="936" w:type="pct"/>
            <w:tcBorders>
              <w:top w:val="single" w:color="000000" w:sz="4" w:space="0"/>
              <w:left w:val="single" w:color="000000" w:sz="4" w:space="0"/>
              <w:bottom w:val="single" w:color="000000" w:sz="4" w:space="0"/>
              <w:right w:val="single" w:color="000000" w:sz="4" w:space="0"/>
            </w:tcBorders>
            <w:noWrap/>
            <w:vAlign w:val="center"/>
          </w:tcPr>
          <w:p w14:paraId="703C6F56">
            <w:pPr>
              <w:widowControl/>
              <w:jc w:val="left"/>
              <w:rPr>
                <w:rFonts w:hint="eastAsia" w:ascii="宋体" w:hAnsi="宋体" w:eastAsia="宋体" w:cs="宋体"/>
                <w:color w:val="000000"/>
                <w:kern w:val="0"/>
                <w:szCs w:val="21"/>
                <w:highlight w:val="none"/>
              </w:rPr>
            </w:pPr>
          </w:p>
        </w:tc>
        <w:tc>
          <w:tcPr>
            <w:tcW w:w="936" w:type="pct"/>
            <w:tcBorders>
              <w:top w:val="single" w:color="000000" w:sz="4" w:space="0"/>
              <w:left w:val="single" w:color="000000" w:sz="4" w:space="0"/>
              <w:bottom w:val="single" w:color="000000" w:sz="4" w:space="0"/>
              <w:right w:val="single" w:color="000000" w:sz="4" w:space="0"/>
            </w:tcBorders>
            <w:noWrap/>
            <w:vAlign w:val="center"/>
          </w:tcPr>
          <w:p w14:paraId="5178E3F0">
            <w:pPr>
              <w:widowControl/>
              <w:jc w:val="left"/>
              <w:rPr>
                <w:rFonts w:hint="eastAsia" w:ascii="宋体" w:hAnsi="宋体" w:eastAsia="宋体" w:cs="宋体"/>
                <w:color w:val="000000"/>
                <w:kern w:val="0"/>
                <w:szCs w:val="21"/>
                <w:highlight w:val="none"/>
              </w:rPr>
            </w:pPr>
          </w:p>
        </w:tc>
      </w:tr>
      <w:tr w14:paraId="2E3BCBB2">
        <w:tblPrEx>
          <w:tblCellMar>
            <w:top w:w="0" w:type="dxa"/>
            <w:left w:w="108" w:type="dxa"/>
            <w:bottom w:w="0" w:type="dxa"/>
            <w:right w:w="108" w:type="dxa"/>
          </w:tblCellMar>
        </w:tblPrEx>
        <w:trPr>
          <w:trHeight w:val="400" w:hRule="atLeast"/>
          <w:jc w:val="center"/>
        </w:trPr>
        <w:tc>
          <w:tcPr>
            <w:tcW w:w="315" w:type="pct"/>
            <w:tcBorders>
              <w:top w:val="single" w:color="000000" w:sz="4" w:space="0"/>
              <w:left w:val="single" w:color="000000" w:sz="4" w:space="0"/>
              <w:bottom w:val="single" w:color="000000" w:sz="4" w:space="0"/>
              <w:right w:val="single" w:color="000000" w:sz="4" w:space="0"/>
            </w:tcBorders>
            <w:noWrap/>
            <w:vAlign w:val="center"/>
          </w:tcPr>
          <w:p w14:paraId="7493B51F">
            <w:pPr>
              <w:widowControl/>
              <w:jc w:val="center"/>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3</w:t>
            </w:r>
          </w:p>
        </w:tc>
        <w:tc>
          <w:tcPr>
            <w:tcW w:w="862" w:type="pct"/>
            <w:tcBorders>
              <w:top w:val="single" w:color="000000" w:sz="4" w:space="0"/>
              <w:left w:val="single" w:color="000000" w:sz="4" w:space="0"/>
              <w:bottom w:val="single" w:color="000000" w:sz="4" w:space="0"/>
              <w:right w:val="single" w:color="000000" w:sz="4" w:space="0"/>
            </w:tcBorders>
            <w:noWrap/>
            <w:vAlign w:val="center"/>
          </w:tcPr>
          <w:p w14:paraId="61088C54">
            <w:pPr>
              <w:widowControl/>
              <w:jc w:val="center"/>
              <w:rPr>
                <w:rFonts w:hint="eastAsia" w:ascii="宋体" w:hAnsi="宋体" w:eastAsia="宋体" w:cs="宋体"/>
                <w:color w:val="000000"/>
                <w:kern w:val="0"/>
                <w:szCs w:val="21"/>
                <w:highlight w:val="none"/>
              </w:rPr>
            </w:pPr>
          </w:p>
        </w:tc>
        <w:tc>
          <w:tcPr>
            <w:tcW w:w="311" w:type="pct"/>
            <w:tcBorders>
              <w:top w:val="single" w:color="000000" w:sz="4" w:space="0"/>
              <w:left w:val="single" w:color="000000" w:sz="4" w:space="0"/>
              <w:bottom w:val="single" w:color="000000" w:sz="4" w:space="0"/>
              <w:right w:val="single" w:color="000000" w:sz="4" w:space="0"/>
            </w:tcBorders>
            <w:noWrap/>
            <w:vAlign w:val="center"/>
          </w:tcPr>
          <w:p w14:paraId="51899F3B">
            <w:pPr>
              <w:widowControl/>
              <w:jc w:val="center"/>
              <w:rPr>
                <w:rFonts w:hint="eastAsia" w:ascii="宋体" w:hAnsi="宋体" w:eastAsia="宋体" w:cs="宋体"/>
                <w:color w:val="000000"/>
                <w:kern w:val="0"/>
                <w:szCs w:val="21"/>
                <w:highlight w:val="none"/>
              </w:rPr>
            </w:pPr>
          </w:p>
        </w:tc>
        <w:tc>
          <w:tcPr>
            <w:tcW w:w="545" w:type="pct"/>
            <w:tcBorders>
              <w:top w:val="single" w:color="000000" w:sz="4" w:space="0"/>
              <w:left w:val="single" w:color="000000" w:sz="4" w:space="0"/>
              <w:bottom w:val="single" w:color="000000" w:sz="4" w:space="0"/>
              <w:right w:val="single" w:color="000000" w:sz="4" w:space="0"/>
            </w:tcBorders>
            <w:noWrap/>
            <w:vAlign w:val="center"/>
          </w:tcPr>
          <w:p w14:paraId="11A593C2">
            <w:pPr>
              <w:widowControl/>
              <w:jc w:val="center"/>
              <w:rPr>
                <w:rFonts w:hint="eastAsia" w:ascii="宋体" w:hAnsi="宋体" w:eastAsia="宋体" w:cs="宋体"/>
                <w:color w:val="000000"/>
                <w:kern w:val="0"/>
                <w:szCs w:val="21"/>
                <w:highlight w:val="none"/>
              </w:rPr>
            </w:pPr>
          </w:p>
        </w:tc>
        <w:tc>
          <w:tcPr>
            <w:tcW w:w="1091" w:type="pct"/>
            <w:tcBorders>
              <w:top w:val="single" w:color="000000" w:sz="4" w:space="0"/>
              <w:left w:val="single" w:color="000000" w:sz="4" w:space="0"/>
              <w:bottom w:val="single" w:color="000000" w:sz="4" w:space="0"/>
              <w:right w:val="single" w:color="000000" w:sz="4" w:space="0"/>
            </w:tcBorders>
            <w:noWrap/>
            <w:vAlign w:val="center"/>
          </w:tcPr>
          <w:p w14:paraId="6A15177F">
            <w:pPr>
              <w:widowControl/>
              <w:jc w:val="center"/>
              <w:rPr>
                <w:rFonts w:hint="eastAsia" w:ascii="宋体" w:hAnsi="宋体" w:eastAsia="宋体" w:cs="宋体"/>
                <w:color w:val="000000"/>
                <w:kern w:val="0"/>
                <w:szCs w:val="21"/>
                <w:highlight w:val="none"/>
              </w:rPr>
            </w:pPr>
          </w:p>
        </w:tc>
        <w:tc>
          <w:tcPr>
            <w:tcW w:w="936" w:type="pct"/>
            <w:tcBorders>
              <w:top w:val="single" w:color="000000" w:sz="4" w:space="0"/>
              <w:left w:val="single" w:color="000000" w:sz="4" w:space="0"/>
              <w:bottom w:val="single" w:color="000000" w:sz="4" w:space="0"/>
              <w:right w:val="single" w:color="000000" w:sz="4" w:space="0"/>
            </w:tcBorders>
            <w:noWrap/>
            <w:vAlign w:val="center"/>
          </w:tcPr>
          <w:p w14:paraId="1BCD80F8">
            <w:pPr>
              <w:widowControl/>
              <w:jc w:val="left"/>
              <w:rPr>
                <w:rFonts w:hint="eastAsia" w:ascii="宋体" w:hAnsi="宋体" w:eastAsia="宋体" w:cs="宋体"/>
                <w:color w:val="000000"/>
                <w:kern w:val="0"/>
                <w:szCs w:val="21"/>
                <w:highlight w:val="none"/>
              </w:rPr>
            </w:pPr>
          </w:p>
        </w:tc>
        <w:tc>
          <w:tcPr>
            <w:tcW w:w="936" w:type="pct"/>
            <w:tcBorders>
              <w:top w:val="single" w:color="000000" w:sz="4" w:space="0"/>
              <w:left w:val="single" w:color="000000" w:sz="4" w:space="0"/>
              <w:bottom w:val="single" w:color="000000" w:sz="4" w:space="0"/>
              <w:right w:val="single" w:color="000000" w:sz="4" w:space="0"/>
            </w:tcBorders>
            <w:noWrap/>
            <w:vAlign w:val="center"/>
          </w:tcPr>
          <w:p w14:paraId="5F78CBEB">
            <w:pPr>
              <w:widowControl/>
              <w:jc w:val="left"/>
              <w:rPr>
                <w:rFonts w:hint="eastAsia" w:ascii="宋体" w:hAnsi="宋体" w:eastAsia="宋体" w:cs="宋体"/>
                <w:color w:val="000000"/>
                <w:kern w:val="0"/>
                <w:szCs w:val="21"/>
                <w:highlight w:val="none"/>
              </w:rPr>
            </w:pPr>
          </w:p>
        </w:tc>
      </w:tr>
      <w:tr w14:paraId="07D076E5">
        <w:tblPrEx>
          <w:tblCellMar>
            <w:top w:w="0" w:type="dxa"/>
            <w:left w:w="108" w:type="dxa"/>
            <w:bottom w:w="0" w:type="dxa"/>
            <w:right w:w="108" w:type="dxa"/>
          </w:tblCellMar>
        </w:tblPrEx>
        <w:trPr>
          <w:trHeight w:val="400" w:hRule="atLeast"/>
          <w:jc w:val="center"/>
        </w:trPr>
        <w:tc>
          <w:tcPr>
            <w:tcW w:w="315" w:type="pct"/>
            <w:tcBorders>
              <w:top w:val="single" w:color="000000" w:sz="4" w:space="0"/>
              <w:left w:val="single" w:color="000000" w:sz="4" w:space="0"/>
              <w:bottom w:val="single" w:color="000000" w:sz="4" w:space="0"/>
              <w:right w:val="single" w:color="000000" w:sz="4" w:space="0"/>
            </w:tcBorders>
            <w:noWrap/>
            <w:vAlign w:val="center"/>
          </w:tcPr>
          <w:p w14:paraId="47C77F80">
            <w:pPr>
              <w:widowControl/>
              <w:jc w:val="center"/>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4</w:t>
            </w:r>
          </w:p>
        </w:tc>
        <w:tc>
          <w:tcPr>
            <w:tcW w:w="862" w:type="pct"/>
            <w:tcBorders>
              <w:top w:val="single" w:color="000000" w:sz="4" w:space="0"/>
              <w:left w:val="single" w:color="000000" w:sz="4" w:space="0"/>
              <w:bottom w:val="single" w:color="000000" w:sz="4" w:space="0"/>
              <w:right w:val="single" w:color="000000" w:sz="4" w:space="0"/>
            </w:tcBorders>
            <w:noWrap/>
            <w:vAlign w:val="center"/>
          </w:tcPr>
          <w:p w14:paraId="7389ACE2">
            <w:pPr>
              <w:widowControl/>
              <w:jc w:val="center"/>
              <w:rPr>
                <w:rFonts w:hint="eastAsia" w:ascii="宋体" w:hAnsi="宋体" w:eastAsia="宋体" w:cs="宋体"/>
                <w:color w:val="000000"/>
                <w:kern w:val="0"/>
                <w:szCs w:val="21"/>
                <w:highlight w:val="none"/>
              </w:rPr>
            </w:pPr>
          </w:p>
        </w:tc>
        <w:tc>
          <w:tcPr>
            <w:tcW w:w="311" w:type="pct"/>
            <w:tcBorders>
              <w:top w:val="single" w:color="000000" w:sz="4" w:space="0"/>
              <w:left w:val="single" w:color="000000" w:sz="4" w:space="0"/>
              <w:bottom w:val="single" w:color="000000" w:sz="4" w:space="0"/>
              <w:right w:val="single" w:color="000000" w:sz="4" w:space="0"/>
            </w:tcBorders>
            <w:noWrap/>
            <w:vAlign w:val="center"/>
          </w:tcPr>
          <w:p w14:paraId="6EFD4A3A">
            <w:pPr>
              <w:widowControl/>
              <w:jc w:val="center"/>
              <w:rPr>
                <w:rFonts w:hint="eastAsia" w:ascii="宋体" w:hAnsi="宋体" w:eastAsia="宋体" w:cs="宋体"/>
                <w:color w:val="000000"/>
                <w:kern w:val="0"/>
                <w:szCs w:val="21"/>
                <w:highlight w:val="none"/>
              </w:rPr>
            </w:pPr>
          </w:p>
        </w:tc>
        <w:tc>
          <w:tcPr>
            <w:tcW w:w="545" w:type="pct"/>
            <w:tcBorders>
              <w:top w:val="single" w:color="000000" w:sz="4" w:space="0"/>
              <w:left w:val="single" w:color="000000" w:sz="4" w:space="0"/>
              <w:bottom w:val="single" w:color="000000" w:sz="4" w:space="0"/>
              <w:right w:val="single" w:color="000000" w:sz="4" w:space="0"/>
            </w:tcBorders>
            <w:noWrap/>
            <w:vAlign w:val="center"/>
          </w:tcPr>
          <w:p w14:paraId="4791E5AC">
            <w:pPr>
              <w:widowControl/>
              <w:jc w:val="center"/>
              <w:rPr>
                <w:rFonts w:hint="eastAsia" w:ascii="宋体" w:hAnsi="宋体" w:eastAsia="宋体" w:cs="宋体"/>
                <w:color w:val="000000"/>
                <w:kern w:val="0"/>
                <w:szCs w:val="21"/>
                <w:highlight w:val="none"/>
              </w:rPr>
            </w:pPr>
          </w:p>
        </w:tc>
        <w:tc>
          <w:tcPr>
            <w:tcW w:w="1091" w:type="pct"/>
            <w:tcBorders>
              <w:top w:val="single" w:color="000000" w:sz="4" w:space="0"/>
              <w:left w:val="single" w:color="000000" w:sz="4" w:space="0"/>
              <w:bottom w:val="single" w:color="000000" w:sz="4" w:space="0"/>
              <w:right w:val="single" w:color="000000" w:sz="4" w:space="0"/>
            </w:tcBorders>
            <w:noWrap/>
            <w:vAlign w:val="center"/>
          </w:tcPr>
          <w:p w14:paraId="5507A35E">
            <w:pPr>
              <w:widowControl/>
              <w:jc w:val="center"/>
              <w:rPr>
                <w:rFonts w:hint="eastAsia" w:ascii="宋体" w:hAnsi="宋体" w:eastAsia="宋体" w:cs="宋体"/>
                <w:color w:val="000000"/>
                <w:kern w:val="0"/>
                <w:szCs w:val="21"/>
                <w:highlight w:val="none"/>
              </w:rPr>
            </w:pPr>
          </w:p>
        </w:tc>
        <w:tc>
          <w:tcPr>
            <w:tcW w:w="936" w:type="pct"/>
            <w:tcBorders>
              <w:top w:val="single" w:color="000000" w:sz="4" w:space="0"/>
              <w:left w:val="single" w:color="000000" w:sz="4" w:space="0"/>
              <w:bottom w:val="single" w:color="000000" w:sz="4" w:space="0"/>
              <w:right w:val="single" w:color="000000" w:sz="4" w:space="0"/>
            </w:tcBorders>
            <w:noWrap/>
            <w:vAlign w:val="center"/>
          </w:tcPr>
          <w:p w14:paraId="57FF021A">
            <w:pPr>
              <w:widowControl/>
              <w:jc w:val="left"/>
              <w:rPr>
                <w:rFonts w:hint="eastAsia" w:ascii="宋体" w:hAnsi="宋体" w:eastAsia="宋体" w:cs="宋体"/>
                <w:color w:val="000000"/>
                <w:kern w:val="0"/>
                <w:szCs w:val="21"/>
                <w:highlight w:val="none"/>
              </w:rPr>
            </w:pPr>
          </w:p>
        </w:tc>
        <w:tc>
          <w:tcPr>
            <w:tcW w:w="936" w:type="pct"/>
            <w:tcBorders>
              <w:top w:val="single" w:color="000000" w:sz="4" w:space="0"/>
              <w:left w:val="single" w:color="000000" w:sz="4" w:space="0"/>
              <w:bottom w:val="single" w:color="000000" w:sz="4" w:space="0"/>
              <w:right w:val="single" w:color="000000" w:sz="4" w:space="0"/>
            </w:tcBorders>
            <w:noWrap/>
            <w:vAlign w:val="center"/>
          </w:tcPr>
          <w:p w14:paraId="6F6B5417">
            <w:pPr>
              <w:widowControl/>
              <w:jc w:val="left"/>
              <w:rPr>
                <w:rFonts w:hint="eastAsia" w:ascii="宋体" w:hAnsi="宋体" w:eastAsia="宋体" w:cs="宋体"/>
                <w:color w:val="000000"/>
                <w:kern w:val="0"/>
                <w:szCs w:val="21"/>
                <w:highlight w:val="none"/>
              </w:rPr>
            </w:pPr>
          </w:p>
        </w:tc>
      </w:tr>
      <w:tr w14:paraId="7BEBBC80">
        <w:tblPrEx>
          <w:tblCellMar>
            <w:top w:w="0" w:type="dxa"/>
            <w:left w:w="108" w:type="dxa"/>
            <w:bottom w:w="0" w:type="dxa"/>
            <w:right w:w="108" w:type="dxa"/>
          </w:tblCellMar>
        </w:tblPrEx>
        <w:trPr>
          <w:trHeight w:val="400" w:hRule="atLeast"/>
          <w:jc w:val="center"/>
        </w:trPr>
        <w:tc>
          <w:tcPr>
            <w:tcW w:w="315" w:type="pct"/>
            <w:tcBorders>
              <w:top w:val="single" w:color="000000" w:sz="4" w:space="0"/>
              <w:left w:val="single" w:color="000000" w:sz="4" w:space="0"/>
              <w:bottom w:val="single" w:color="000000" w:sz="4" w:space="0"/>
              <w:right w:val="single" w:color="000000" w:sz="4" w:space="0"/>
            </w:tcBorders>
            <w:noWrap/>
            <w:vAlign w:val="center"/>
          </w:tcPr>
          <w:p w14:paraId="7BF1290A">
            <w:pPr>
              <w:widowControl/>
              <w:jc w:val="center"/>
              <w:rPr>
                <w:rFonts w:hint="eastAsia" w:ascii="宋体" w:hAnsi="宋体" w:eastAsia="宋体" w:cs="宋体"/>
                <w:color w:val="000000"/>
                <w:kern w:val="0"/>
                <w:szCs w:val="21"/>
                <w:highlight w:val="none"/>
              </w:rPr>
            </w:pPr>
          </w:p>
        </w:tc>
        <w:tc>
          <w:tcPr>
            <w:tcW w:w="862" w:type="pct"/>
            <w:tcBorders>
              <w:top w:val="single" w:color="000000" w:sz="4" w:space="0"/>
              <w:left w:val="single" w:color="000000" w:sz="4" w:space="0"/>
              <w:bottom w:val="single" w:color="000000" w:sz="4" w:space="0"/>
              <w:right w:val="single" w:color="000000" w:sz="4" w:space="0"/>
            </w:tcBorders>
            <w:noWrap/>
            <w:vAlign w:val="center"/>
          </w:tcPr>
          <w:p w14:paraId="1B96251F">
            <w:pPr>
              <w:widowControl/>
              <w:jc w:val="center"/>
              <w:rPr>
                <w:rFonts w:hint="eastAsia" w:ascii="宋体" w:hAnsi="宋体" w:eastAsia="宋体" w:cs="宋体"/>
                <w:color w:val="000000"/>
                <w:kern w:val="0"/>
                <w:szCs w:val="21"/>
                <w:highlight w:val="none"/>
              </w:rPr>
            </w:pPr>
          </w:p>
        </w:tc>
        <w:tc>
          <w:tcPr>
            <w:tcW w:w="311" w:type="pct"/>
            <w:tcBorders>
              <w:top w:val="single" w:color="000000" w:sz="4" w:space="0"/>
              <w:left w:val="single" w:color="000000" w:sz="4" w:space="0"/>
              <w:bottom w:val="single" w:color="000000" w:sz="4" w:space="0"/>
              <w:right w:val="single" w:color="000000" w:sz="4" w:space="0"/>
            </w:tcBorders>
            <w:noWrap/>
            <w:vAlign w:val="center"/>
          </w:tcPr>
          <w:p w14:paraId="60BDD221">
            <w:pPr>
              <w:widowControl/>
              <w:jc w:val="center"/>
              <w:rPr>
                <w:rFonts w:hint="eastAsia" w:ascii="宋体" w:hAnsi="宋体" w:eastAsia="宋体" w:cs="宋体"/>
                <w:color w:val="000000"/>
                <w:kern w:val="0"/>
                <w:szCs w:val="21"/>
                <w:highlight w:val="none"/>
              </w:rPr>
            </w:pPr>
          </w:p>
        </w:tc>
        <w:tc>
          <w:tcPr>
            <w:tcW w:w="545" w:type="pct"/>
            <w:tcBorders>
              <w:top w:val="single" w:color="000000" w:sz="4" w:space="0"/>
              <w:left w:val="single" w:color="000000" w:sz="4" w:space="0"/>
              <w:bottom w:val="single" w:color="000000" w:sz="4" w:space="0"/>
              <w:right w:val="single" w:color="000000" w:sz="4" w:space="0"/>
            </w:tcBorders>
            <w:noWrap/>
            <w:vAlign w:val="center"/>
          </w:tcPr>
          <w:p w14:paraId="2C930B52">
            <w:pPr>
              <w:widowControl/>
              <w:jc w:val="center"/>
              <w:rPr>
                <w:rFonts w:hint="eastAsia" w:ascii="宋体" w:hAnsi="宋体" w:eastAsia="宋体" w:cs="宋体"/>
                <w:color w:val="000000"/>
                <w:kern w:val="0"/>
                <w:szCs w:val="21"/>
                <w:highlight w:val="none"/>
              </w:rPr>
            </w:pPr>
          </w:p>
        </w:tc>
        <w:tc>
          <w:tcPr>
            <w:tcW w:w="1091" w:type="pct"/>
            <w:tcBorders>
              <w:top w:val="single" w:color="000000" w:sz="4" w:space="0"/>
              <w:left w:val="single" w:color="000000" w:sz="4" w:space="0"/>
              <w:bottom w:val="single" w:color="000000" w:sz="4" w:space="0"/>
              <w:right w:val="single" w:color="000000" w:sz="4" w:space="0"/>
            </w:tcBorders>
            <w:noWrap/>
            <w:vAlign w:val="center"/>
          </w:tcPr>
          <w:p w14:paraId="57AB807D">
            <w:pPr>
              <w:widowControl/>
              <w:jc w:val="center"/>
              <w:rPr>
                <w:rFonts w:hint="eastAsia" w:ascii="宋体" w:hAnsi="宋体" w:eastAsia="宋体" w:cs="宋体"/>
                <w:color w:val="000000"/>
                <w:kern w:val="0"/>
                <w:szCs w:val="21"/>
                <w:highlight w:val="none"/>
              </w:rPr>
            </w:pPr>
          </w:p>
        </w:tc>
        <w:tc>
          <w:tcPr>
            <w:tcW w:w="936" w:type="pct"/>
            <w:tcBorders>
              <w:top w:val="single" w:color="000000" w:sz="4" w:space="0"/>
              <w:left w:val="single" w:color="000000" w:sz="4" w:space="0"/>
              <w:bottom w:val="single" w:color="000000" w:sz="4" w:space="0"/>
              <w:right w:val="single" w:color="000000" w:sz="4" w:space="0"/>
            </w:tcBorders>
            <w:noWrap/>
            <w:vAlign w:val="center"/>
          </w:tcPr>
          <w:p w14:paraId="46C16911">
            <w:pPr>
              <w:widowControl/>
              <w:jc w:val="left"/>
              <w:rPr>
                <w:rFonts w:hint="eastAsia" w:ascii="宋体" w:hAnsi="宋体" w:eastAsia="宋体" w:cs="宋体"/>
                <w:color w:val="000000"/>
                <w:kern w:val="0"/>
                <w:szCs w:val="21"/>
                <w:highlight w:val="none"/>
              </w:rPr>
            </w:pPr>
          </w:p>
        </w:tc>
        <w:tc>
          <w:tcPr>
            <w:tcW w:w="936" w:type="pct"/>
            <w:tcBorders>
              <w:top w:val="single" w:color="000000" w:sz="4" w:space="0"/>
              <w:left w:val="single" w:color="000000" w:sz="4" w:space="0"/>
              <w:bottom w:val="single" w:color="000000" w:sz="4" w:space="0"/>
              <w:right w:val="single" w:color="000000" w:sz="4" w:space="0"/>
            </w:tcBorders>
            <w:noWrap/>
            <w:vAlign w:val="center"/>
          </w:tcPr>
          <w:p w14:paraId="1EB03363">
            <w:pPr>
              <w:widowControl/>
              <w:jc w:val="left"/>
              <w:rPr>
                <w:rFonts w:hint="eastAsia" w:ascii="宋体" w:hAnsi="宋体" w:eastAsia="宋体" w:cs="宋体"/>
                <w:color w:val="000000"/>
                <w:kern w:val="0"/>
                <w:szCs w:val="21"/>
                <w:highlight w:val="none"/>
              </w:rPr>
            </w:pPr>
          </w:p>
        </w:tc>
      </w:tr>
      <w:tr w14:paraId="5E9B8359">
        <w:tblPrEx>
          <w:tblCellMar>
            <w:top w:w="0" w:type="dxa"/>
            <w:left w:w="108" w:type="dxa"/>
            <w:bottom w:w="0" w:type="dxa"/>
            <w:right w:w="108" w:type="dxa"/>
          </w:tblCellMar>
        </w:tblPrEx>
        <w:trPr>
          <w:trHeight w:val="400" w:hRule="atLeast"/>
          <w:jc w:val="center"/>
        </w:trPr>
        <w:tc>
          <w:tcPr>
            <w:tcW w:w="315" w:type="pct"/>
            <w:tcBorders>
              <w:top w:val="single" w:color="000000" w:sz="4" w:space="0"/>
              <w:left w:val="single" w:color="000000" w:sz="4" w:space="0"/>
              <w:bottom w:val="single" w:color="000000" w:sz="4" w:space="0"/>
              <w:right w:val="single" w:color="000000" w:sz="4" w:space="0"/>
            </w:tcBorders>
            <w:noWrap/>
            <w:vAlign w:val="center"/>
          </w:tcPr>
          <w:p w14:paraId="2422AAFA">
            <w:pPr>
              <w:widowControl/>
              <w:jc w:val="center"/>
              <w:rPr>
                <w:rFonts w:hint="eastAsia" w:ascii="宋体" w:hAnsi="宋体" w:eastAsia="宋体" w:cs="宋体"/>
                <w:color w:val="000000"/>
                <w:kern w:val="0"/>
                <w:szCs w:val="21"/>
                <w:highlight w:val="none"/>
              </w:rPr>
            </w:pPr>
          </w:p>
        </w:tc>
        <w:tc>
          <w:tcPr>
            <w:tcW w:w="862" w:type="pct"/>
            <w:tcBorders>
              <w:top w:val="single" w:color="000000" w:sz="4" w:space="0"/>
              <w:left w:val="single" w:color="000000" w:sz="4" w:space="0"/>
              <w:bottom w:val="single" w:color="000000" w:sz="4" w:space="0"/>
              <w:right w:val="single" w:color="000000" w:sz="4" w:space="0"/>
            </w:tcBorders>
            <w:noWrap/>
            <w:vAlign w:val="center"/>
          </w:tcPr>
          <w:p w14:paraId="7B3A2F72">
            <w:pPr>
              <w:widowControl/>
              <w:jc w:val="center"/>
              <w:rPr>
                <w:rFonts w:hint="eastAsia" w:ascii="宋体" w:hAnsi="宋体" w:eastAsia="宋体" w:cs="宋体"/>
                <w:color w:val="000000"/>
                <w:kern w:val="0"/>
                <w:szCs w:val="21"/>
                <w:highlight w:val="none"/>
              </w:rPr>
            </w:pPr>
          </w:p>
        </w:tc>
        <w:tc>
          <w:tcPr>
            <w:tcW w:w="311" w:type="pct"/>
            <w:tcBorders>
              <w:top w:val="single" w:color="000000" w:sz="4" w:space="0"/>
              <w:left w:val="single" w:color="000000" w:sz="4" w:space="0"/>
              <w:bottom w:val="single" w:color="000000" w:sz="4" w:space="0"/>
              <w:right w:val="single" w:color="000000" w:sz="4" w:space="0"/>
            </w:tcBorders>
            <w:noWrap/>
            <w:vAlign w:val="center"/>
          </w:tcPr>
          <w:p w14:paraId="6CD5D4D5">
            <w:pPr>
              <w:widowControl/>
              <w:jc w:val="center"/>
              <w:rPr>
                <w:rFonts w:hint="eastAsia" w:ascii="宋体" w:hAnsi="宋体" w:eastAsia="宋体" w:cs="宋体"/>
                <w:color w:val="000000"/>
                <w:kern w:val="0"/>
                <w:szCs w:val="21"/>
                <w:highlight w:val="none"/>
              </w:rPr>
            </w:pPr>
          </w:p>
        </w:tc>
        <w:tc>
          <w:tcPr>
            <w:tcW w:w="545" w:type="pct"/>
            <w:tcBorders>
              <w:top w:val="single" w:color="000000" w:sz="4" w:space="0"/>
              <w:left w:val="single" w:color="000000" w:sz="4" w:space="0"/>
              <w:bottom w:val="single" w:color="000000" w:sz="4" w:space="0"/>
              <w:right w:val="single" w:color="000000" w:sz="4" w:space="0"/>
            </w:tcBorders>
            <w:noWrap/>
            <w:vAlign w:val="center"/>
          </w:tcPr>
          <w:p w14:paraId="163BF3FC">
            <w:pPr>
              <w:widowControl/>
              <w:jc w:val="center"/>
              <w:rPr>
                <w:rFonts w:hint="eastAsia" w:ascii="宋体" w:hAnsi="宋体" w:eastAsia="宋体" w:cs="宋体"/>
                <w:color w:val="000000"/>
                <w:kern w:val="0"/>
                <w:szCs w:val="21"/>
                <w:highlight w:val="none"/>
              </w:rPr>
            </w:pPr>
          </w:p>
        </w:tc>
        <w:tc>
          <w:tcPr>
            <w:tcW w:w="1091" w:type="pct"/>
            <w:tcBorders>
              <w:top w:val="single" w:color="000000" w:sz="4" w:space="0"/>
              <w:left w:val="single" w:color="000000" w:sz="4" w:space="0"/>
              <w:bottom w:val="single" w:color="000000" w:sz="4" w:space="0"/>
              <w:right w:val="single" w:color="000000" w:sz="4" w:space="0"/>
            </w:tcBorders>
            <w:noWrap/>
            <w:vAlign w:val="center"/>
          </w:tcPr>
          <w:p w14:paraId="2DB79433">
            <w:pPr>
              <w:widowControl/>
              <w:jc w:val="center"/>
              <w:rPr>
                <w:rFonts w:hint="eastAsia" w:ascii="宋体" w:hAnsi="宋体" w:eastAsia="宋体" w:cs="宋体"/>
                <w:color w:val="000000"/>
                <w:kern w:val="0"/>
                <w:szCs w:val="21"/>
                <w:highlight w:val="none"/>
              </w:rPr>
            </w:pPr>
          </w:p>
        </w:tc>
        <w:tc>
          <w:tcPr>
            <w:tcW w:w="936" w:type="pct"/>
            <w:tcBorders>
              <w:top w:val="single" w:color="000000" w:sz="4" w:space="0"/>
              <w:left w:val="single" w:color="000000" w:sz="4" w:space="0"/>
              <w:bottom w:val="single" w:color="000000" w:sz="4" w:space="0"/>
              <w:right w:val="single" w:color="000000" w:sz="4" w:space="0"/>
            </w:tcBorders>
            <w:noWrap/>
            <w:vAlign w:val="center"/>
          </w:tcPr>
          <w:p w14:paraId="42529905">
            <w:pPr>
              <w:widowControl/>
              <w:jc w:val="left"/>
              <w:rPr>
                <w:rFonts w:hint="eastAsia" w:ascii="宋体" w:hAnsi="宋体" w:eastAsia="宋体" w:cs="宋体"/>
                <w:color w:val="000000"/>
                <w:kern w:val="0"/>
                <w:szCs w:val="21"/>
                <w:highlight w:val="none"/>
              </w:rPr>
            </w:pPr>
          </w:p>
        </w:tc>
        <w:tc>
          <w:tcPr>
            <w:tcW w:w="936" w:type="pct"/>
            <w:tcBorders>
              <w:top w:val="single" w:color="000000" w:sz="4" w:space="0"/>
              <w:left w:val="single" w:color="000000" w:sz="4" w:space="0"/>
              <w:bottom w:val="single" w:color="000000" w:sz="4" w:space="0"/>
              <w:right w:val="single" w:color="000000" w:sz="4" w:space="0"/>
            </w:tcBorders>
            <w:noWrap/>
            <w:vAlign w:val="center"/>
          </w:tcPr>
          <w:p w14:paraId="48930A6B">
            <w:pPr>
              <w:widowControl/>
              <w:jc w:val="left"/>
              <w:rPr>
                <w:rFonts w:hint="eastAsia" w:ascii="宋体" w:hAnsi="宋体" w:eastAsia="宋体" w:cs="宋体"/>
                <w:color w:val="000000"/>
                <w:kern w:val="0"/>
                <w:szCs w:val="21"/>
                <w:highlight w:val="none"/>
              </w:rPr>
            </w:pPr>
          </w:p>
        </w:tc>
      </w:tr>
      <w:tr w14:paraId="486B3ED5">
        <w:tblPrEx>
          <w:tblCellMar>
            <w:top w:w="0" w:type="dxa"/>
            <w:left w:w="108" w:type="dxa"/>
            <w:bottom w:w="0" w:type="dxa"/>
            <w:right w:w="108" w:type="dxa"/>
          </w:tblCellMar>
        </w:tblPrEx>
        <w:trPr>
          <w:trHeight w:val="400" w:hRule="atLeast"/>
          <w:jc w:val="center"/>
        </w:trPr>
        <w:tc>
          <w:tcPr>
            <w:tcW w:w="315" w:type="pct"/>
            <w:tcBorders>
              <w:top w:val="single" w:color="000000" w:sz="4" w:space="0"/>
              <w:left w:val="single" w:color="000000" w:sz="4" w:space="0"/>
              <w:bottom w:val="single" w:color="000000" w:sz="4" w:space="0"/>
              <w:right w:val="single" w:color="000000" w:sz="4" w:space="0"/>
            </w:tcBorders>
            <w:noWrap/>
            <w:vAlign w:val="center"/>
          </w:tcPr>
          <w:p w14:paraId="75E12C77">
            <w:pPr>
              <w:widowControl/>
              <w:jc w:val="center"/>
              <w:rPr>
                <w:rFonts w:hint="eastAsia" w:ascii="宋体" w:hAnsi="宋体" w:eastAsia="宋体" w:cs="宋体"/>
                <w:color w:val="000000"/>
                <w:kern w:val="0"/>
                <w:szCs w:val="21"/>
                <w:highlight w:val="none"/>
              </w:rPr>
            </w:pPr>
          </w:p>
        </w:tc>
        <w:tc>
          <w:tcPr>
            <w:tcW w:w="862" w:type="pct"/>
            <w:tcBorders>
              <w:top w:val="single" w:color="000000" w:sz="4" w:space="0"/>
              <w:left w:val="single" w:color="000000" w:sz="4" w:space="0"/>
              <w:bottom w:val="single" w:color="000000" w:sz="4" w:space="0"/>
              <w:right w:val="single" w:color="000000" w:sz="4" w:space="0"/>
            </w:tcBorders>
            <w:noWrap/>
            <w:vAlign w:val="center"/>
          </w:tcPr>
          <w:p w14:paraId="6D5FB802">
            <w:pPr>
              <w:widowControl/>
              <w:jc w:val="center"/>
              <w:rPr>
                <w:rFonts w:hint="eastAsia" w:ascii="宋体" w:hAnsi="宋体" w:eastAsia="宋体" w:cs="宋体"/>
                <w:color w:val="000000"/>
                <w:kern w:val="0"/>
                <w:szCs w:val="21"/>
                <w:highlight w:val="none"/>
              </w:rPr>
            </w:pPr>
          </w:p>
        </w:tc>
        <w:tc>
          <w:tcPr>
            <w:tcW w:w="311" w:type="pct"/>
            <w:tcBorders>
              <w:top w:val="single" w:color="000000" w:sz="4" w:space="0"/>
              <w:left w:val="single" w:color="000000" w:sz="4" w:space="0"/>
              <w:bottom w:val="single" w:color="000000" w:sz="4" w:space="0"/>
              <w:right w:val="single" w:color="000000" w:sz="4" w:space="0"/>
            </w:tcBorders>
            <w:noWrap/>
            <w:vAlign w:val="center"/>
          </w:tcPr>
          <w:p w14:paraId="312DB141">
            <w:pPr>
              <w:widowControl/>
              <w:jc w:val="center"/>
              <w:rPr>
                <w:rFonts w:hint="eastAsia" w:ascii="宋体" w:hAnsi="宋体" w:eastAsia="宋体" w:cs="宋体"/>
                <w:color w:val="000000"/>
                <w:kern w:val="0"/>
                <w:szCs w:val="21"/>
                <w:highlight w:val="none"/>
              </w:rPr>
            </w:pPr>
          </w:p>
        </w:tc>
        <w:tc>
          <w:tcPr>
            <w:tcW w:w="545" w:type="pct"/>
            <w:tcBorders>
              <w:top w:val="single" w:color="000000" w:sz="4" w:space="0"/>
              <w:left w:val="single" w:color="000000" w:sz="4" w:space="0"/>
              <w:bottom w:val="single" w:color="000000" w:sz="4" w:space="0"/>
              <w:right w:val="single" w:color="000000" w:sz="4" w:space="0"/>
            </w:tcBorders>
            <w:noWrap/>
            <w:vAlign w:val="center"/>
          </w:tcPr>
          <w:p w14:paraId="5ADDEC23">
            <w:pPr>
              <w:widowControl/>
              <w:jc w:val="center"/>
              <w:rPr>
                <w:rFonts w:hint="eastAsia" w:ascii="宋体" w:hAnsi="宋体" w:eastAsia="宋体" w:cs="宋体"/>
                <w:color w:val="000000"/>
                <w:kern w:val="0"/>
                <w:szCs w:val="21"/>
                <w:highlight w:val="none"/>
              </w:rPr>
            </w:pPr>
          </w:p>
        </w:tc>
        <w:tc>
          <w:tcPr>
            <w:tcW w:w="1091" w:type="pct"/>
            <w:tcBorders>
              <w:top w:val="single" w:color="000000" w:sz="4" w:space="0"/>
              <w:left w:val="single" w:color="000000" w:sz="4" w:space="0"/>
              <w:bottom w:val="single" w:color="000000" w:sz="4" w:space="0"/>
              <w:right w:val="single" w:color="000000" w:sz="4" w:space="0"/>
            </w:tcBorders>
            <w:noWrap/>
            <w:vAlign w:val="center"/>
          </w:tcPr>
          <w:p w14:paraId="1C25ED71">
            <w:pPr>
              <w:widowControl/>
              <w:jc w:val="center"/>
              <w:rPr>
                <w:rFonts w:hint="eastAsia" w:ascii="宋体" w:hAnsi="宋体" w:eastAsia="宋体" w:cs="宋体"/>
                <w:color w:val="000000"/>
                <w:kern w:val="0"/>
                <w:szCs w:val="21"/>
                <w:highlight w:val="none"/>
              </w:rPr>
            </w:pPr>
          </w:p>
        </w:tc>
        <w:tc>
          <w:tcPr>
            <w:tcW w:w="936" w:type="pct"/>
            <w:tcBorders>
              <w:top w:val="single" w:color="000000" w:sz="4" w:space="0"/>
              <w:left w:val="single" w:color="000000" w:sz="4" w:space="0"/>
              <w:bottom w:val="single" w:color="000000" w:sz="4" w:space="0"/>
              <w:right w:val="single" w:color="000000" w:sz="4" w:space="0"/>
            </w:tcBorders>
            <w:noWrap/>
            <w:vAlign w:val="center"/>
          </w:tcPr>
          <w:p w14:paraId="0E280B34">
            <w:pPr>
              <w:widowControl/>
              <w:jc w:val="left"/>
              <w:rPr>
                <w:rFonts w:hint="eastAsia" w:ascii="宋体" w:hAnsi="宋体" w:eastAsia="宋体" w:cs="宋体"/>
                <w:color w:val="000000"/>
                <w:kern w:val="0"/>
                <w:szCs w:val="21"/>
                <w:highlight w:val="none"/>
              </w:rPr>
            </w:pPr>
          </w:p>
        </w:tc>
        <w:tc>
          <w:tcPr>
            <w:tcW w:w="936" w:type="pct"/>
            <w:tcBorders>
              <w:top w:val="single" w:color="000000" w:sz="4" w:space="0"/>
              <w:left w:val="single" w:color="000000" w:sz="4" w:space="0"/>
              <w:bottom w:val="single" w:color="000000" w:sz="4" w:space="0"/>
              <w:right w:val="single" w:color="000000" w:sz="4" w:space="0"/>
            </w:tcBorders>
            <w:noWrap/>
            <w:vAlign w:val="center"/>
          </w:tcPr>
          <w:p w14:paraId="34EE5CC8">
            <w:pPr>
              <w:widowControl/>
              <w:jc w:val="left"/>
              <w:rPr>
                <w:rFonts w:hint="eastAsia" w:ascii="宋体" w:hAnsi="宋体" w:eastAsia="宋体" w:cs="宋体"/>
                <w:color w:val="000000"/>
                <w:kern w:val="0"/>
                <w:szCs w:val="21"/>
                <w:highlight w:val="none"/>
              </w:rPr>
            </w:pPr>
          </w:p>
        </w:tc>
      </w:tr>
      <w:tr w14:paraId="5C51B618">
        <w:tblPrEx>
          <w:tblCellMar>
            <w:top w:w="0" w:type="dxa"/>
            <w:left w:w="108" w:type="dxa"/>
            <w:bottom w:w="0" w:type="dxa"/>
            <w:right w:w="108" w:type="dxa"/>
          </w:tblCellMar>
        </w:tblPrEx>
        <w:trPr>
          <w:trHeight w:val="400" w:hRule="atLeast"/>
          <w:jc w:val="center"/>
        </w:trPr>
        <w:tc>
          <w:tcPr>
            <w:tcW w:w="315" w:type="pct"/>
            <w:tcBorders>
              <w:top w:val="single" w:color="000000" w:sz="4" w:space="0"/>
              <w:left w:val="single" w:color="000000" w:sz="4" w:space="0"/>
              <w:bottom w:val="single" w:color="000000" w:sz="4" w:space="0"/>
              <w:right w:val="single" w:color="000000" w:sz="4" w:space="0"/>
            </w:tcBorders>
            <w:noWrap/>
            <w:vAlign w:val="center"/>
          </w:tcPr>
          <w:p w14:paraId="22F70A5D">
            <w:pPr>
              <w:widowControl/>
              <w:jc w:val="center"/>
              <w:rPr>
                <w:rFonts w:hint="eastAsia" w:ascii="宋体" w:hAnsi="宋体" w:eastAsia="宋体" w:cs="宋体"/>
                <w:color w:val="000000"/>
                <w:kern w:val="0"/>
                <w:szCs w:val="21"/>
                <w:highlight w:val="none"/>
              </w:rPr>
            </w:pPr>
          </w:p>
        </w:tc>
        <w:tc>
          <w:tcPr>
            <w:tcW w:w="862" w:type="pct"/>
            <w:tcBorders>
              <w:top w:val="single" w:color="000000" w:sz="4" w:space="0"/>
              <w:left w:val="single" w:color="000000" w:sz="4" w:space="0"/>
              <w:bottom w:val="single" w:color="000000" w:sz="4" w:space="0"/>
              <w:right w:val="single" w:color="000000" w:sz="4" w:space="0"/>
            </w:tcBorders>
            <w:noWrap/>
            <w:vAlign w:val="center"/>
          </w:tcPr>
          <w:p w14:paraId="081F70D2">
            <w:pPr>
              <w:widowControl/>
              <w:jc w:val="center"/>
              <w:rPr>
                <w:rFonts w:hint="eastAsia" w:ascii="宋体" w:hAnsi="宋体" w:eastAsia="宋体" w:cs="宋体"/>
                <w:color w:val="000000"/>
                <w:kern w:val="0"/>
                <w:szCs w:val="21"/>
                <w:highlight w:val="none"/>
              </w:rPr>
            </w:pPr>
          </w:p>
        </w:tc>
        <w:tc>
          <w:tcPr>
            <w:tcW w:w="311" w:type="pct"/>
            <w:tcBorders>
              <w:top w:val="single" w:color="000000" w:sz="4" w:space="0"/>
              <w:left w:val="single" w:color="000000" w:sz="4" w:space="0"/>
              <w:bottom w:val="single" w:color="000000" w:sz="4" w:space="0"/>
              <w:right w:val="single" w:color="000000" w:sz="4" w:space="0"/>
            </w:tcBorders>
            <w:noWrap/>
            <w:vAlign w:val="center"/>
          </w:tcPr>
          <w:p w14:paraId="33DB706D">
            <w:pPr>
              <w:widowControl/>
              <w:jc w:val="center"/>
              <w:rPr>
                <w:rFonts w:hint="eastAsia" w:ascii="宋体" w:hAnsi="宋体" w:eastAsia="宋体" w:cs="宋体"/>
                <w:color w:val="000000"/>
                <w:kern w:val="0"/>
                <w:szCs w:val="21"/>
                <w:highlight w:val="none"/>
              </w:rPr>
            </w:pPr>
          </w:p>
        </w:tc>
        <w:tc>
          <w:tcPr>
            <w:tcW w:w="545" w:type="pct"/>
            <w:tcBorders>
              <w:top w:val="single" w:color="000000" w:sz="4" w:space="0"/>
              <w:left w:val="single" w:color="000000" w:sz="4" w:space="0"/>
              <w:bottom w:val="single" w:color="000000" w:sz="4" w:space="0"/>
              <w:right w:val="single" w:color="000000" w:sz="4" w:space="0"/>
            </w:tcBorders>
            <w:noWrap/>
            <w:vAlign w:val="center"/>
          </w:tcPr>
          <w:p w14:paraId="618991E8">
            <w:pPr>
              <w:widowControl/>
              <w:jc w:val="center"/>
              <w:rPr>
                <w:rFonts w:hint="eastAsia" w:ascii="宋体" w:hAnsi="宋体" w:eastAsia="宋体" w:cs="宋体"/>
                <w:color w:val="000000"/>
                <w:kern w:val="0"/>
                <w:szCs w:val="21"/>
                <w:highlight w:val="none"/>
              </w:rPr>
            </w:pPr>
          </w:p>
        </w:tc>
        <w:tc>
          <w:tcPr>
            <w:tcW w:w="1091" w:type="pct"/>
            <w:tcBorders>
              <w:top w:val="single" w:color="000000" w:sz="4" w:space="0"/>
              <w:left w:val="single" w:color="000000" w:sz="4" w:space="0"/>
              <w:bottom w:val="single" w:color="000000" w:sz="4" w:space="0"/>
              <w:right w:val="single" w:color="000000" w:sz="4" w:space="0"/>
            </w:tcBorders>
            <w:noWrap/>
            <w:vAlign w:val="center"/>
          </w:tcPr>
          <w:p w14:paraId="0A8372FD">
            <w:pPr>
              <w:widowControl/>
              <w:jc w:val="center"/>
              <w:rPr>
                <w:rFonts w:hint="eastAsia" w:ascii="宋体" w:hAnsi="宋体" w:eastAsia="宋体" w:cs="宋体"/>
                <w:color w:val="000000"/>
                <w:kern w:val="0"/>
                <w:szCs w:val="21"/>
                <w:highlight w:val="none"/>
              </w:rPr>
            </w:pPr>
          </w:p>
        </w:tc>
        <w:tc>
          <w:tcPr>
            <w:tcW w:w="936" w:type="pct"/>
            <w:tcBorders>
              <w:top w:val="single" w:color="000000" w:sz="4" w:space="0"/>
              <w:left w:val="single" w:color="000000" w:sz="4" w:space="0"/>
              <w:bottom w:val="single" w:color="000000" w:sz="4" w:space="0"/>
              <w:right w:val="single" w:color="000000" w:sz="4" w:space="0"/>
            </w:tcBorders>
            <w:noWrap/>
            <w:vAlign w:val="center"/>
          </w:tcPr>
          <w:p w14:paraId="11DC621C">
            <w:pPr>
              <w:widowControl/>
              <w:jc w:val="left"/>
              <w:rPr>
                <w:rFonts w:hint="eastAsia" w:ascii="宋体" w:hAnsi="宋体" w:eastAsia="宋体" w:cs="宋体"/>
                <w:color w:val="000000"/>
                <w:kern w:val="0"/>
                <w:szCs w:val="21"/>
                <w:highlight w:val="none"/>
              </w:rPr>
            </w:pPr>
          </w:p>
        </w:tc>
        <w:tc>
          <w:tcPr>
            <w:tcW w:w="936" w:type="pct"/>
            <w:tcBorders>
              <w:top w:val="single" w:color="000000" w:sz="4" w:space="0"/>
              <w:left w:val="single" w:color="000000" w:sz="4" w:space="0"/>
              <w:bottom w:val="single" w:color="000000" w:sz="4" w:space="0"/>
              <w:right w:val="single" w:color="000000" w:sz="4" w:space="0"/>
            </w:tcBorders>
            <w:noWrap/>
            <w:vAlign w:val="center"/>
          </w:tcPr>
          <w:p w14:paraId="2D103489">
            <w:pPr>
              <w:widowControl/>
              <w:jc w:val="left"/>
              <w:rPr>
                <w:rFonts w:hint="eastAsia" w:ascii="宋体" w:hAnsi="宋体" w:eastAsia="宋体" w:cs="宋体"/>
                <w:color w:val="000000"/>
                <w:kern w:val="0"/>
                <w:szCs w:val="21"/>
                <w:highlight w:val="none"/>
              </w:rPr>
            </w:pPr>
          </w:p>
        </w:tc>
      </w:tr>
      <w:tr w14:paraId="29E064A7">
        <w:tblPrEx>
          <w:tblCellMar>
            <w:top w:w="0" w:type="dxa"/>
            <w:left w:w="108" w:type="dxa"/>
            <w:bottom w:w="0" w:type="dxa"/>
            <w:right w:w="108" w:type="dxa"/>
          </w:tblCellMar>
        </w:tblPrEx>
        <w:trPr>
          <w:trHeight w:val="400" w:hRule="atLeast"/>
          <w:jc w:val="center"/>
        </w:trPr>
        <w:tc>
          <w:tcPr>
            <w:tcW w:w="315" w:type="pct"/>
            <w:tcBorders>
              <w:top w:val="single" w:color="000000" w:sz="4" w:space="0"/>
              <w:left w:val="single" w:color="000000" w:sz="4" w:space="0"/>
              <w:bottom w:val="single" w:color="000000" w:sz="4" w:space="0"/>
              <w:right w:val="single" w:color="000000" w:sz="4" w:space="0"/>
            </w:tcBorders>
            <w:noWrap/>
            <w:vAlign w:val="center"/>
          </w:tcPr>
          <w:p w14:paraId="709E89EF">
            <w:pPr>
              <w:widowControl/>
              <w:jc w:val="center"/>
              <w:rPr>
                <w:rFonts w:hint="eastAsia" w:ascii="宋体" w:hAnsi="宋体" w:eastAsia="宋体" w:cs="宋体"/>
                <w:color w:val="000000"/>
                <w:kern w:val="0"/>
                <w:szCs w:val="21"/>
                <w:highlight w:val="none"/>
              </w:rPr>
            </w:pPr>
          </w:p>
        </w:tc>
        <w:tc>
          <w:tcPr>
            <w:tcW w:w="862" w:type="pct"/>
            <w:tcBorders>
              <w:top w:val="single" w:color="000000" w:sz="4" w:space="0"/>
              <w:left w:val="single" w:color="000000" w:sz="4" w:space="0"/>
              <w:bottom w:val="single" w:color="000000" w:sz="4" w:space="0"/>
              <w:right w:val="single" w:color="000000" w:sz="4" w:space="0"/>
            </w:tcBorders>
            <w:noWrap/>
            <w:vAlign w:val="center"/>
          </w:tcPr>
          <w:p w14:paraId="48E7526F">
            <w:pPr>
              <w:widowControl/>
              <w:jc w:val="center"/>
              <w:rPr>
                <w:rFonts w:hint="eastAsia" w:ascii="宋体" w:hAnsi="宋体" w:eastAsia="宋体" w:cs="宋体"/>
                <w:color w:val="000000"/>
                <w:kern w:val="0"/>
                <w:szCs w:val="21"/>
                <w:highlight w:val="none"/>
              </w:rPr>
            </w:pPr>
          </w:p>
        </w:tc>
        <w:tc>
          <w:tcPr>
            <w:tcW w:w="311" w:type="pct"/>
            <w:tcBorders>
              <w:top w:val="single" w:color="000000" w:sz="4" w:space="0"/>
              <w:left w:val="single" w:color="000000" w:sz="4" w:space="0"/>
              <w:bottom w:val="single" w:color="000000" w:sz="4" w:space="0"/>
              <w:right w:val="single" w:color="000000" w:sz="4" w:space="0"/>
            </w:tcBorders>
            <w:noWrap/>
            <w:vAlign w:val="center"/>
          </w:tcPr>
          <w:p w14:paraId="4ECBF8B2">
            <w:pPr>
              <w:widowControl/>
              <w:jc w:val="center"/>
              <w:rPr>
                <w:rFonts w:hint="eastAsia" w:ascii="宋体" w:hAnsi="宋体" w:eastAsia="宋体" w:cs="宋体"/>
                <w:color w:val="000000"/>
                <w:kern w:val="0"/>
                <w:szCs w:val="21"/>
                <w:highlight w:val="none"/>
              </w:rPr>
            </w:pPr>
          </w:p>
        </w:tc>
        <w:tc>
          <w:tcPr>
            <w:tcW w:w="545" w:type="pct"/>
            <w:tcBorders>
              <w:top w:val="single" w:color="000000" w:sz="4" w:space="0"/>
              <w:left w:val="single" w:color="000000" w:sz="4" w:space="0"/>
              <w:bottom w:val="single" w:color="000000" w:sz="4" w:space="0"/>
              <w:right w:val="single" w:color="000000" w:sz="4" w:space="0"/>
            </w:tcBorders>
            <w:noWrap/>
            <w:vAlign w:val="center"/>
          </w:tcPr>
          <w:p w14:paraId="527E263F">
            <w:pPr>
              <w:widowControl/>
              <w:jc w:val="center"/>
              <w:rPr>
                <w:rFonts w:hint="eastAsia" w:ascii="宋体" w:hAnsi="宋体" w:eastAsia="宋体" w:cs="宋体"/>
                <w:color w:val="000000"/>
                <w:kern w:val="0"/>
                <w:szCs w:val="21"/>
                <w:highlight w:val="none"/>
              </w:rPr>
            </w:pPr>
          </w:p>
        </w:tc>
        <w:tc>
          <w:tcPr>
            <w:tcW w:w="1091" w:type="pct"/>
            <w:tcBorders>
              <w:top w:val="single" w:color="000000" w:sz="4" w:space="0"/>
              <w:left w:val="single" w:color="000000" w:sz="4" w:space="0"/>
              <w:bottom w:val="single" w:color="000000" w:sz="4" w:space="0"/>
              <w:right w:val="single" w:color="000000" w:sz="4" w:space="0"/>
            </w:tcBorders>
            <w:noWrap/>
            <w:vAlign w:val="center"/>
          </w:tcPr>
          <w:p w14:paraId="3C8D728B">
            <w:pPr>
              <w:widowControl/>
              <w:jc w:val="center"/>
              <w:rPr>
                <w:rFonts w:hint="eastAsia" w:ascii="宋体" w:hAnsi="宋体" w:eastAsia="宋体" w:cs="宋体"/>
                <w:color w:val="000000"/>
                <w:kern w:val="0"/>
                <w:szCs w:val="21"/>
                <w:highlight w:val="none"/>
              </w:rPr>
            </w:pPr>
          </w:p>
        </w:tc>
        <w:tc>
          <w:tcPr>
            <w:tcW w:w="936" w:type="pct"/>
            <w:tcBorders>
              <w:top w:val="single" w:color="000000" w:sz="4" w:space="0"/>
              <w:left w:val="single" w:color="000000" w:sz="4" w:space="0"/>
              <w:bottom w:val="single" w:color="000000" w:sz="4" w:space="0"/>
              <w:right w:val="single" w:color="000000" w:sz="4" w:space="0"/>
            </w:tcBorders>
            <w:noWrap/>
            <w:vAlign w:val="center"/>
          </w:tcPr>
          <w:p w14:paraId="3FAC2CCC">
            <w:pPr>
              <w:widowControl/>
              <w:jc w:val="left"/>
              <w:rPr>
                <w:rFonts w:hint="eastAsia" w:ascii="宋体" w:hAnsi="宋体" w:eastAsia="宋体" w:cs="宋体"/>
                <w:color w:val="000000"/>
                <w:kern w:val="0"/>
                <w:szCs w:val="21"/>
                <w:highlight w:val="none"/>
              </w:rPr>
            </w:pPr>
          </w:p>
        </w:tc>
        <w:tc>
          <w:tcPr>
            <w:tcW w:w="936" w:type="pct"/>
            <w:tcBorders>
              <w:top w:val="single" w:color="000000" w:sz="4" w:space="0"/>
              <w:left w:val="single" w:color="000000" w:sz="4" w:space="0"/>
              <w:bottom w:val="single" w:color="000000" w:sz="4" w:space="0"/>
              <w:right w:val="single" w:color="000000" w:sz="4" w:space="0"/>
            </w:tcBorders>
            <w:noWrap/>
            <w:vAlign w:val="center"/>
          </w:tcPr>
          <w:p w14:paraId="5099A4F6">
            <w:pPr>
              <w:widowControl/>
              <w:jc w:val="left"/>
              <w:rPr>
                <w:rFonts w:hint="eastAsia" w:ascii="宋体" w:hAnsi="宋体" w:eastAsia="宋体" w:cs="宋体"/>
                <w:color w:val="000000"/>
                <w:kern w:val="0"/>
                <w:szCs w:val="21"/>
                <w:highlight w:val="none"/>
              </w:rPr>
            </w:pPr>
          </w:p>
        </w:tc>
      </w:tr>
      <w:tr w14:paraId="1CDA689D">
        <w:tblPrEx>
          <w:tblCellMar>
            <w:top w:w="0" w:type="dxa"/>
            <w:left w:w="108" w:type="dxa"/>
            <w:bottom w:w="0" w:type="dxa"/>
            <w:right w:w="108" w:type="dxa"/>
          </w:tblCellMar>
        </w:tblPrEx>
        <w:trPr>
          <w:trHeight w:val="400" w:hRule="atLeast"/>
          <w:jc w:val="center"/>
        </w:trPr>
        <w:tc>
          <w:tcPr>
            <w:tcW w:w="315" w:type="pct"/>
            <w:tcBorders>
              <w:top w:val="single" w:color="000000" w:sz="4" w:space="0"/>
              <w:left w:val="single" w:color="000000" w:sz="4" w:space="0"/>
              <w:bottom w:val="single" w:color="000000" w:sz="4" w:space="0"/>
              <w:right w:val="single" w:color="000000" w:sz="4" w:space="0"/>
            </w:tcBorders>
            <w:noWrap/>
            <w:vAlign w:val="center"/>
          </w:tcPr>
          <w:p w14:paraId="446D32D0">
            <w:pPr>
              <w:widowControl/>
              <w:jc w:val="center"/>
              <w:rPr>
                <w:rFonts w:hint="eastAsia" w:ascii="宋体" w:hAnsi="宋体" w:eastAsia="宋体" w:cs="宋体"/>
                <w:color w:val="000000"/>
                <w:kern w:val="0"/>
                <w:szCs w:val="21"/>
                <w:highlight w:val="none"/>
              </w:rPr>
            </w:pPr>
          </w:p>
        </w:tc>
        <w:tc>
          <w:tcPr>
            <w:tcW w:w="862" w:type="pct"/>
            <w:tcBorders>
              <w:top w:val="single" w:color="000000" w:sz="4" w:space="0"/>
              <w:left w:val="single" w:color="000000" w:sz="4" w:space="0"/>
              <w:bottom w:val="single" w:color="000000" w:sz="4" w:space="0"/>
              <w:right w:val="single" w:color="000000" w:sz="4" w:space="0"/>
            </w:tcBorders>
            <w:noWrap/>
            <w:vAlign w:val="center"/>
          </w:tcPr>
          <w:p w14:paraId="2BB12534">
            <w:pPr>
              <w:widowControl/>
              <w:jc w:val="center"/>
              <w:rPr>
                <w:rFonts w:hint="eastAsia" w:ascii="宋体" w:hAnsi="宋体" w:eastAsia="宋体" w:cs="宋体"/>
                <w:color w:val="000000"/>
                <w:kern w:val="0"/>
                <w:szCs w:val="21"/>
                <w:highlight w:val="none"/>
              </w:rPr>
            </w:pPr>
          </w:p>
        </w:tc>
        <w:tc>
          <w:tcPr>
            <w:tcW w:w="311" w:type="pct"/>
            <w:tcBorders>
              <w:top w:val="single" w:color="000000" w:sz="4" w:space="0"/>
              <w:left w:val="single" w:color="000000" w:sz="4" w:space="0"/>
              <w:bottom w:val="single" w:color="000000" w:sz="4" w:space="0"/>
              <w:right w:val="single" w:color="000000" w:sz="4" w:space="0"/>
            </w:tcBorders>
            <w:noWrap/>
            <w:vAlign w:val="center"/>
          </w:tcPr>
          <w:p w14:paraId="7FF9FF45">
            <w:pPr>
              <w:widowControl/>
              <w:jc w:val="center"/>
              <w:rPr>
                <w:rFonts w:hint="eastAsia" w:ascii="宋体" w:hAnsi="宋体" w:eastAsia="宋体" w:cs="宋体"/>
                <w:color w:val="000000"/>
                <w:kern w:val="0"/>
                <w:szCs w:val="21"/>
                <w:highlight w:val="none"/>
              </w:rPr>
            </w:pPr>
          </w:p>
        </w:tc>
        <w:tc>
          <w:tcPr>
            <w:tcW w:w="545" w:type="pct"/>
            <w:tcBorders>
              <w:top w:val="single" w:color="000000" w:sz="4" w:space="0"/>
              <w:left w:val="single" w:color="000000" w:sz="4" w:space="0"/>
              <w:bottom w:val="single" w:color="000000" w:sz="4" w:space="0"/>
              <w:right w:val="single" w:color="000000" w:sz="4" w:space="0"/>
            </w:tcBorders>
            <w:noWrap/>
            <w:vAlign w:val="center"/>
          </w:tcPr>
          <w:p w14:paraId="274A54F1">
            <w:pPr>
              <w:widowControl/>
              <w:jc w:val="center"/>
              <w:rPr>
                <w:rFonts w:hint="eastAsia" w:ascii="宋体" w:hAnsi="宋体" w:eastAsia="宋体" w:cs="宋体"/>
                <w:color w:val="000000"/>
                <w:kern w:val="0"/>
                <w:szCs w:val="21"/>
                <w:highlight w:val="none"/>
              </w:rPr>
            </w:pPr>
          </w:p>
        </w:tc>
        <w:tc>
          <w:tcPr>
            <w:tcW w:w="1091" w:type="pct"/>
            <w:tcBorders>
              <w:top w:val="single" w:color="000000" w:sz="4" w:space="0"/>
              <w:left w:val="single" w:color="000000" w:sz="4" w:space="0"/>
              <w:bottom w:val="single" w:color="000000" w:sz="4" w:space="0"/>
              <w:right w:val="single" w:color="000000" w:sz="4" w:space="0"/>
            </w:tcBorders>
            <w:noWrap/>
            <w:vAlign w:val="center"/>
          </w:tcPr>
          <w:p w14:paraId="55BD6C44">
            <w:pPr>
              <w:widowControl/>
              <w:jc w:val="center"/>
              <w:rPr>
                <w:rFonts w:hint="eastAsia" w:ascii="宋体" w:hAnsi="宋体" w:eastAsia="宋体" w:cs="宋体"/>
                <w:color w:val="000000"/>
                <w:kern w:val="0"/>
                <w:szCs w:val="21"/>
                <w:highlight w:val="none"/>
              </w:rPr>
            </w:pPr>
          </w:p>
        </w:tc>
        <w:tc>
          <w:tcPr>
            <w:tcW w:w="936" w:type="pct"/>
            <w:tcBorders>
              <w:top w:val="single" w:color="000000" w:sz="4" w:space="0"/>
              <w:left w:val="single" w:color="000000" w:sz="4" w:space="0"/>
              <w:bottom w:val="single" w:color="000000" w:sz="4" w:space="0"/>
              <w:right w:val="single" w:color="000000" w:sz="4" w:space="0"/>
            </w:tcBorders>
            <w:noWrap/>
            <w:vAlign w:val="center"/>
          </w:tcPr>
          <w:p w14:paraId="0507FE1C">
            <w:pPr>
              <w:widowControl/>
              <w:jc w:val="left"/>
              <w:rPr>
                <w:rFonts w:hint="eastAsia" w:ascii="宋体" w:hAnsi="宋体" w:eastAsia="宋体" w:cs="宋体"/>
                <w:color w:val="000000"/>
                <w:kern w:val="0"/>
                <w:szCs w:val="21"/>
                <w:highlight w:val="none"/>
              </w:rPr>
            </w:pPr>
          </w:p>
        </w:tc>
        <w:tc>
          <w:tcPr>
            <w:tcW w:w="936" w:type="pct"/>
            <w:tcBorders>
              <w:top w:val="single" w:color="000000" w:sz="4" w:space="0"/>
              <w:left w:val="single" w:color="000000" w:sz="4" w:space="0"/>
              <w:bottom w:val="single" w:color="000000" w:sz="4" w:space="0"/>
              <w:right w:val="single" w:color="000000" w:sz="4" w:space="0"/>
            </w:tcBorders>
            <w:noWrap/>
            <w:vAlign w:val="center"/>
          </w:tcPr>
          <w:p w14:paraId="6534C1B0">
            <w:pPr>
              <w:widowControl/>
              <w:jc w:val="left"/>
              <w:rPr>
                <w:rFonts w:hint="eastAsia" w:ascii="宋体" w:hAnsi="宋体" w:eastAsia="宋体" w:cs="宋体"/>
                <w:color w:val="000000"/>
                <w:kern w:val="0"/>
                <w:szCs w:val="21"/>
                <w:highlight w:val="none"/>
              </w:rPr>
            </w:pPr>
          </w:p>
        </w:tc>
      </w:tr>
      <w:tr w14:paraId="2BB1923D">
        <w:tblPrEx>
          <w:tblCellMar>
            <w:top w:w="0" w:type="dxa"/>
            <w:left w:w="108" w:type="dxa"/>
            <w:bottom w:w="0" w:type="dxa"/>
            <w:right w:w="108" w:type="dxa"/>
          </w:tblCellMar>
        </w:tblPrEx>
        <w:trPr>
          <w:trHeight w:val="400" w:hRule="atLeast"/>
          <w:jc w:val="center"/>
        </w:trPr>
        <w:tc>
          <w:tcPr>
            <w:tcW w:w="315" w:type="pct"/>
            <w:tcBorders>
              <w:top w:val="single" w:color="000000" w:sz="4" w:space="0"/>
              <w:left w:val="single" w:color="000000" w:sz="4" w:space="0"/>
              <w:bottom w:val="single" w:color="000000" w:sz="4" w:space="0"/>
              <w:right w:val="single" w:color="000000" w:sz="4" w:space="0"/>
            </w:tcBorders>
            <w:noWrap/>
            <w:vAlign w:val="center"/>
          </w:tcPr>
          <w:p w14:paraId="51D0A90D">
            <w:pPr>
              <w:widowControl/>
              <w:jc w:val="center"/>
              <w:rPr>
                <w:rFonts w:hint="eastAsia" w:ascii="宋体" w:hAnsi="宋体" w:eastAsia="宋体" w:cs="宋体"/>
                <w:color w:val="000000"/>
                <w:kern w:val="0"/>
                <w:szCs w:val="21"/>
                <w:highlight w:val="none"/>
              </w:rPr>
            </w:pPr>
          </w:p>
        </w:tc>
        <w:tc>
          <w:tcPr>
            <w:tcW w:w="862" w:type="pct"/>
            <w:tcBorders>
              <w:top w:val="single" w:color="000000" w:sz="4" w:space="0"/>
              <w:left w:val="single" w:color="000000" w:sz="4" w:space="0"/>
              <w:bottom w:val="single" w:color="000000" w:sz="4" w:space="0"/>
              <w:right w:val="single" w:color="000000" w:sz="4" w:space="0"/>
            </w:tcBorders>
            <w:noWrap/>
            <w:vAlign w:val="center"/>
          </w:tcPr>
          <w:p w14:paraId="065B23E0">
            <w:pPr>
              <w:widowControl/>
              <w:jc w:val="center"/>
              <w:rPr>
                <w:rFonts w:hint="eastAsia" w:ascii="宋体" w:hAnsi="宋体" w:eastAsia="宋体" w:cs="宋体"/>
                <w:color w:val="000000"/>
                <w:kern w:val="0"/>
                <w:szCs w:val="21"/>
                <w:highlight w:val="none"/>
              </w:rPr>
            </w:pPr>
          </w:p>
        </w:tc>
        <w:tc>
          <w:tcPr>
            <w:tcW w:w="311" w:type="pct"/>
            <w:tcBorders>
              <w:top w:val="single" w:color="000000" w:sz="4" w:space="0"/>
              <w:left w:val="single" w:color="000000" w:sz="4" w:space="0"/>
              <w:bottom w:val="single" w:color="000000" w:sz="4" w:space="0"/>
              <w:right w:val="single" w:color="000000" w:sz="4" w:space="0"/>
            </w:tcBorders>
            <w:noWrap/>
            <w:vAlign w:val="center"/>
          </w:tcPr>
          <w:p w14:paraId="4414C5C5">
            <w:pPr>
              <w:widowControl/>
              <w:jc w:val="center"/>
              <w:rPr>
                <w:rFonts w:hint="eastAsia" w:ascii="宋体" w:hAnsi="宋体" w:eastAsia="宋体" w:cs="宋体"/>
                <w:color w:val="000000"/>
                <w:kern w:val="0"/>
                <w:szCs w:val="21"/>
                <w:highlight w:val="none"/>
              </w:rPr>
            </w:pPr>
          </w:p>
        </w:tc>
        <w:tc>
          <w:tcPr>
            <w:tcW w:w="545" w:type="pct"/>
            <w:tcBorders>
              <w:top w:val="single" w:color="000000" w:sz="4" w:space="0"/>
              <w:left w:val="single" w:color="000000" w:sz="4" w:space="0"/>
              <w:bottom w:val="single" w:color="000000" w:sz="4" w:space="0"/>
              <w:right w:val="single" w:color="000000" w:sz="4" w:space="0"/>
            </w:tcBorders>
            <w:noWrap/>
            <w:vAlign w:val="center"/>
          </w:tcPr>
          <w:p w14:paraId="0F6B58A8">
            <w:pPr>
              <w:widowControl/>
              <w:jc w:val="center"/>
              <w:rPr>
                <w:rFonts w:hint="eastAsia" w:ascii="宋体" w:hAnsi="宋体" w:eastAsia="宋体" w:cs="宋体"/>
                <w:color w:val="000000"/>
                <w:kern w:val="0"/>
                <w:szCs w:val="21"/>
                <w:highlight w:val="none"/>
              </w:rPr>
            </w:pPr>
          </w:p>
        </w:tc>
        <w:tc>
          <w:tcPr>
            <w:tcW w:w="1091" w:type="pct"/>
            <w:tcBorders>
              <w:top w:val="single" w:color="000000" w:sz="4" w:space="0"/>
              <w:left w:val="single" w:color="000000" w:sz="4" w:space="0"/>
              <w:bottom w:val="single" w:color="000000" w:sz="4" w:space="0"/>
              <w:right w:val="single" w:color="000000" w:sz="4" w:space="0"/>
            </w:tcBorders>
            <w:noWrap/>
            <w:vAlign w:val="center"/>
          </w:tcPr>
          <w:p w14:paraId="4F173672">
            <w:pPr>
              <w:widowControl/>
              <w:jc w:val="center"/>
              <w:rPr>
                <w:rFonts w:hint="eastAsia" w:ascii="宋体" w:hAnsi="宋体" w:eastAsia="宋体" w:cs="宋体"/>
                <w:color w:val="000000"/>
                <w:kern w:val="0"/>
                <w:szCs w:val="21"/>
                <w:highlight w:val="none"/>
              </w:rPr>
            </w:pPr>
          </w:p>
        </w:tc>
        <w:tc>
          <w:tcPr>
            <w:tcW w:w="936" w:type="pct"/>
            <w:tcBorders>
              <w:top w:val="single" w:color="000000" w:sz="4" w:space="0"/>
              <w:left w:val="single" w:color="000000" w:sz="4" w:space="0"/>
              <w:bottom w:val="single" w:color="000000" w:sz="4" w:space="0"/>
              <w:right w:val="single" w:color="000000" w:sz="4" w:space="0"/>
            </w:tcBorders>
            <w:noWrap/>
            <w:vAlign w:val="center"/>
          </w:tcPr>
          <w:p w14:paraId="384224D1">
            <w:pPr>
              <w:widowControl/>
              <w:jc w:val="left"/>
              <w:rPr>
                <w:rFonts w:hint="eastAsia" w:ascii="宋体" w:hAnsi="宋体" w:eastAsia="宋体" w:cs="宋体"/>
                <w:color w:val="000000"/>
                <w:kern w:val="0"/>
                <w:szCs w:val="21"/>
                <w:highlight w:val="none"/>
              </w:rPr>
            </w:pPr>
          </w:p>
        </w:tc>
        <w:tc>
          <w:tcPr>
            <w:tcW w:w="936" w:type="pct"/>
            <w:tcBorders>
              <w:top w:val="single" w:color="000000" w:sz="4" w:space="0"/>
              <w:left w:val="single" w:color="000000" w:sz="4" w:space="0"/>
              <w:bottom w:val="single" w:color="000000" w:sz="4" w:space="0"/>
              <w:right w:val="single" w:color="000000" w:sz="4" w:space="0"/>
            </w:tcBorders>
            <w:noWrap/>
            <w:vAlign w:val="center"/>
          </w:tcPr>
          <w:p w14:paraId="2B0FDCC7">
            <w:pPr>
              <w:widowControl/>
              <w:jc w:val="left"/>
              <w:rPr>
                <w:rFonts w:hint="eastAsia" w:ascii="宋体" w:hAnsi="宋体" w:eastAsia="宋体" w:cs="宋体"/>
                <w:color w:val="000000"/>
                <w:kern w:val="0"/>
                <w:szCs w:val="21"/>
                <w:highlight w:val="none"/>
              </w:rPr>
            </w:pPr>
          </w:p>
        </w:tc>
      </w:tr>
      <w:tr w14:paraId="411EB57C">
        <w:tblPrEx>
          <w:tblCellMar>
            <w:top w:w="0" w:type="dxa"/>
            <w:left w:w="108" w:type="dxa"/>
            <w:bottom w:w="0" w:type="dxa"/>
            <w:right w:w="108" w:type="dxa"/>
          </w:tblCellMar>
        </w:tblPrEx>
        <w:trPr>
          <w:trHeight w:val="400" w:hRule="atLeast"/>
          <w:jc w:val="center"/>
        </w:trPr>
        <w:tc>
          <w:tcPr>
            <w:tcW w:w="315" w:type="pct"/>
            <w:tcBorders>
              <w:top w:val="single" w:color="000000" w:sz="4" w:space="0"/>
              <w:left w:val="single" w:color="000000" w:sz="4" w:space="0"/>
              <w:bottom w:val="single" w:color="000000" w:sz="4" w:space="0"/>
              <w:right w:val="single" w:color="000000" w:sz="4" w:space="0"/>
            </w:tcBorders>
            <w:noWrap/>
            <w:vAlign w:val="center"/>
          </w:tcPr>
          <w:p w14:paraId="07606ACE">
            <w:pPr>
              <w:widowControl/>
              <w:jc w:val="center"/>
              <w:rPr>
                <w:rFonts w:hint="eastAsia" w:ascii="宋体" w:hAnsi="宋体" w:eastAsia="宋体" w:cs="宋体"/>
                <w:color w:val="000000"/>
                <w:kern w:val="0"/>
                <w:szCs w:val="21"/>
                <w:highlight w:val="none"/>
              </w:rPr>
            </w:pPr>
          </w:p>
        </w:tc>
        <w:tc>
          <w:tcPr>
            <w:tcW w:w="862" w:type="pct"/>
            <w:tcBorders>
              <w:top w:val="single" w:color="000000" w:sz="4" w:space="0"/>
              <w:left w:val="single" w:color="000000" w:sz="4" w:space="0"/>
              <w:bottom w:val="single" w:color="000000" w:sz="4" w:space="0"/>
              <w:right w:val="single" w:color="000000" w:sz="4" w:space="0"/>
            </w:tcBorders>
            <w:noWrap/>
            <w:vAlign w:val="center"/>
          </w:tcPr>
          <w:p w14:paraId="3F83DCB9">
            <w:pPr>
              <w:widowControl/>
              <w:jc w:val="center"/>
              <w:rPr>
                <w:rFonts w:hint="eastAsia" w:ascii="宋体" w:hAnsi="宋体" w:eastAsia="宋体" w:cs="宋体"/>
                <w:color w:val="000000"/>
                <w:kern w:val="0"/>
                <w:szCs w:val="21"/>
                <w:highlight w:val="none"/>
              </w:rPr>
            </w:pPr>
          </w:p>
        </w:tc>
        <w:tc>
          <w:tcPr>
            <w:tcW w:w="311" w:type="pct"/>
            <w:tcBorders>
              <w:top w:val="single" w:color="000000" w:sz="4" w:space="0"/>
              <w:left w:val="single" w:color="000000" w:sz="4" w:space="0"/>
              <w:bottom w:val="single" w:color="000000" w:sz="4" w:space="0"/>
              <w:right w:val="single" w:color="000000" w:sz="4" w:space="0"/>
            </w:tcBorders>
            <w:noWrap/>
            <w:vAlign w:val="center"/>
          </w:tcPr>
          <w:p w14:paraId="7935BC13">
            <w:pPr>
              <w:widowControl/>
              <w:jc w:val="center"/>
              <w:rPr>
                <w:rFonts w:hint="eastAsia" w:ascii="宋体" w:hAnsi="宋体" w:eastAsia="宋体" w:cs="宋体"/>
                <w:color w:val="000000"/>
                <w:kern w:val="0"/>
                <w:szCs w:val="21"/>
                <w:highlight w:val="none"/>
              </w:rPr>
            </w:pPr>
          </w:p>
        </w:tc>
        <w:tc>
          <w:tcPr>
            <w:tcW w:w="545" w:type="pct"/>
            <w:tcBorders>
              <w:top w:val="single" w:color="000000" w:sz="4" w:space="0"/>
              <w:left w:val="single" w:color="000000" w:sz="4" w:space="0"/>
              <w:bottom w:val="single" w:color="000000" w:sz="4" w:space="0"/>
              <w:right w:val="single" w:color="000000" w:sz="4" w:space="0"/>
            </w:tcBorders>
            <w:noWrap/>
            <w:vAlign w:val="center"/>
          </w:tcPr>
          <w:p w14:paraId="0341E912">
            <w:pPr>
              <w:widowControl/>
              <w:jc w:val="center"/>
              <w:rPr>
                <w:rFonts w:hint="eastAsia" w:ascii="宋体" w:hAnsi="宋体" w:eastAsia="宋体" w:cs="宋体"/>
                <w:color w:val="000000"/>
                <w:kern w:val="0"/>
                <w:szCs w:val="21"/>
                <w:highlight w:val="none"/>
              </w:rPr>
            </w:pPr>
          </w:p>
        </w:tc>
        <w:tc>
          <w:tcPr>
            <w:tcW w:w="1091" w:type="pct"/>
            <w:tcBorders>
              <w:top w:val="single" w:color="000000" w:sz="4" w:space="0"/>
              <w:left w:val="single" w:color="000000" w:sz="4" w:space="0"/>
              <w:bottom w:val="single" w:color="000000" w:sz="4" w:space="0"/>
              <w:right w:val="single" w:color="000000" w:sz="4" w:space="0"/>
            </w:tcBorders>
            <w:noWrap/>
            <w:vAlign w:val="center"/>
          </w:tcPr>
          <w:p w14:paraId="11170A2B">
            <w:pPr>
              <w:widowControl/>
              <w:jc w:val="center"/>
              <w:rPr>
                <w:rFonts w:hint="eastAsia" w:ascii="宋体" w:hAnsi="宋体" w:eastAsia="宋体" w:cs="宋体"/>
                <w:color w:val="000000"/>
                <w:kern w:val="0"/>
                <w:szCs w:val="21"/>
                <w:highlight w:val="none"/>
              </w:rPr>
            </w:pPr>
          </w:p>
        </w:tc>
        <w:tc>
          <w:tcPr>
            <w:tcW w:w="936" w:type="pct"/>
            <w:tcBorders>
              <w:top w:val="single" w:color="000000" w:sz="4" w:space="0"/>
              <w:left w:val="single" w:color="000000" w:sz="4" w:space="0"/>
              <w:bottom w:val="single" w:color="000000" w:sz="4" w:space="0"/>
              <w:right w:val="single" w:color="000000" w:sz="4" w:space="0"/>
            </w:tcBorders>
            <w:noWrap/>
            <w:vAlign w:val="center"/>
          </w:tcPr>
          <w:p w14:paraId="22DDC573">
            <w:pPr>
              <w:widowControl/>
              <w:jc w:val="left"/>
              <w:rPr>
                <w:rFonts w:hint="eastAsia" w:ascii="宋体" w:hAnsi="宋体" w:eastAsia="宋体" w:cs="宋体"/>
                <w:color w:val="000000"/>
                <w:kern w:val="0"/>
                <w:szCs w:val="21"/>
                <w:highlight w:val="none"/>
              </w:rPr>
            </w:pPr>
          </w:p>
        </w:tc>
        <w:tc>
          <w:tcPr>
            <w:tcW w:w="936" w:type="pct"/>
            <w:tcBorders>
              <w:top w:val="single" w:color="000000" w:sz="4" w:space="0"/>
              <w:left w:val="single" w:color="000000" w:sz="4" w:space="0"/>
              <w:bottom w:val="single" w:color="000000" w:sz="4" w:space="0"/>
              <w:right w:val="single" w:color="000000" w:sz="4" w:space="0"/>
            </w:tcBorders>
            <w:noWrap/>
            <w:vAlign w:val="center"/>
          </w:tcPr>
          <w:p w14:paraId="71D8939C">
            <w:pPr>
              <w:widowControl/>
              <w:jc w:val="left"/>
              <w:rPr>
                <w:rFonts w:hint="eastAsia" w:ascii="宋体" w:hAnsi="宋体" w:eastAsia="宋体" w:cs="宋体"/>
                <w:color w:val="000000"/>
                <w:kern w:val="0"/>
                <w:szCs w:val="21"/>
                <w:highlight w:val="none"/>
              </w:rPr>
            </w:pPr>
          </w:p>
        </w:tc>
      </w:tr>
    </w:tbl>
    <w:p w14:paraId="0A7F2A2B">
      <w:pPr>
        <w:widowControl/>
        <w:jc w:val="left"/>
        <w:rPr>
          <w:rFonts w:hint="eastAsia" w:ascii="宋体" w:hAnsi="宋体" w:eastAsia="宋体" w:cs="宋体"/>
          <w:b/>
          <w:bCs/>
          <w:sz w:val="24"/>
          <w:szCs w:val="21"/>
          <w:highlight w:val="none"/>
          <w:lang w:bidi="ar"/>
        </w:rPr>
      </w:pPr>
    </w:p>
    <w:p w14:paraId="4F673F95">
      <w:pPr>
        <w:widowControl/>
        <w:jc w:val="left"/>
        <w:rPr>
          <w:rFonts w:hint="eastAsia" w:ascii="宋体" w:hAnsi="宋体" w:eastAsia="宋体" w:cs="宋体"/>
          <w:b/>
          <w:bCs/>
          <w:sz w:val="24"/>
          <w:szCs w:val="21"/>
          <w:highlight w:val="none"/>
          <w:lang w:bidi="ar"/>
        </w:rPr>
      </w:pPr>
      <w:r>
        <w:rPr>
          <w:rFonts w:hint="eastAsia" w:ascii="宋体" w:hAnsi="宋体" w:eastAsia="宋体" w:cs="宋体"/>
          <w:b/>
          <w:bCs/>
          <w:sz w:val="24"/>
          <w:szCs w:val="21"/>
          <w:highlight w:val="none"/>
          <w:lang w:bidi="ar"/>
        </w:rPr>
        <w:t>注：供应商根据公告中资格要求的内容进行填写，无需提供的列项，可不填写，可根据要求自行修改表格。</w:t>
      </w:r>
    </w:p>
    <w:p w14:paraId="0F4C04CF">
      <w:pPr>
        <w:widowControl/>
        <w:jc w:val="left"/>
        <w:rPr>
          <w:rFonts w:hint="eastAsia" w:ascii="宋体" w:hAnsi="宋体" w:eastAsia="宋体" w:cs="宋体"/>
          <w:b/>
          <w:bCs/>
          <w:sz w:val="24"/>
          <w:szCs w:val="21"/>
          <w:highlight w:val="none"/>
          <w:lang w:bidi="ar"/>
        </w:rPr>
      </w:pPr>
    </w:p>
    <w:p w14:paraId="472949E0">
      <w:pPr>
        <w:spacing w:line="360" w:lineRule="auto"/>
        <w:ind w:right="24" w:firstLine="480" w:firstLineChars="200"/>
        <w:jc w:val="right"/>
        <w:rPr>
          <w:rFonts w:hint="eastAsia" w:ascii="宋体" w:hAnsi="宋体" w:eastAsia="宋体" w:cs="宋体"/>
          <w:sz w:val="24"/>
          <w:szCs w:val="21"/>
          <w:highlight w:val="none"/>
        </w:rPr>
      </w:pPr>
      <w:r>
        <w:rPr>
          <w:rFonts w:hint="eastAsia" w:ascii="宋体" w:hAnsi="宋体" w:eastAsia="宋体" w:cs="宋体"/>
          <w:sz w:val="24"/>
          <w:szCs w:val="21"/>
          <w:highlight w:val="none"/>
        </w:rPr>
        <w:t>供应商：</w:t>
      </w:r>
      <w:r>
        <w:rPr>
          <w:rFonts w:hint="eastAsia" w:ascii="宋体" w:hAnsi="宋体" w:eastAsia="宋体" w:cs="宋体"/>
          <w:snapToGrid w:val="0"/>
          <w:sz w:val="24"/>
          <w:szCs w:val="21"/>
          <w:highlight w:val="none"/>
          <w:u w:val="single"/>
        </w:rPr>
        <w:t xml:space="preserve">                  （盖章）</w:t>
      </w:r>
    </w:p>
    <w:p w14:paraId="015658EC">
      <w:pPr>
        <w:spacing w:line="360" w:lineRule="auto"/>
        <w:ind w:left="420" w:leftChars="200" w:firstLine="480" w:firstLineChars="200"/>
        <w:jc w:val="right"/>
        <w:rPr>
          <w:rFonts w:hint="eastAsia" w:ascii="宋体" w:hAnsi="宋体" w:eastAsia="宋体" w:cs="宋体"/>
          <w:snapToGrid w:val="0"/>
          <w:kern w:val="0"/>
          <w:sz w:val="24"/>
          <w:szCs w:val="21"/>
          <w:highlight w:val="none"/>
        </w:rPr>
      </w:pPr>
      <w:r>
        <w:rPr>
          <w:rFonts w:hint="eastAsia" w:ascii="宋体" w:hAnsi="宋体" w:eastAsia="宋体" w:cs="宋体"/>
          <w:snapToGrid w:val="0"/>
          <w:sz w:val="24"/>
          <w:szCs w:val="21"/>
          <w:highlight w:val="none"/>
          <w:u w:val="single"/>
        </w:rPr>
        <w:t xml:space="preserve">   </w:t>
      </w:r>
      <w:r>
        <w:rPr>
          <w:rFonts w:hint="eastAsia" w:ascii="宋体" w:hAnsi="宋体" w:eastAsia="宋体" w:cs="宋体"/>
          <w:snapToGrid w:val="0"/>
          <w:kern w:val="0"/>
          <w:sz w:val="24"/>
          <w:szCs w:val="21"/>
          <w:highlight w:val="none"/>
          <w:u w:val="single"/>
        </w:rPr>
        <w:t xml:space="preserve">  </w:t>
      </w:r>
      <w:r>
        <w:rPr>
          <w:rFonts w:hint="eastAsia" w:ascii="宋体" w:hAnsi="宋体" w:eastAsia="宋体" w:cs="宋体"/>
          <w:snapToGrid w:val="0"/>
          <w:kern w:val="0"/>
          <w:sz w:val="24"/>
          <w:szCs w:val="21"/>
          <w:highlight w:val="none"/>
        </w:rPr>
        <w:t>年</w:t>
      </w:r>
      <w:r>
        <w:rPr>
          <w:rFonts w:hint="eastAsia" w:ascii="宋体" w:hAnsi="宋体" w:eastAsia="宋体" w:cs="宋体"/>
          <w:snapToGrid w:val="0"/>
          <w:sz w:val="24"/>
          <w:szCs w:val="21"/>
          <w:highlight w:val="none"/>
          <w:u w:val="single"/>
        </w:rPr>
        <w:t xml:space="preserve">   </w:t>
      </w:r>
      <w:r>
        <w:rPr>
          <w:rFonts w:hint="eastAsia" w:ascii="宋体" w:hAnsi="宋体" w:eastAsia="宋体" w:cs="宋体"/>
          <w:snapToGrid w:val="0"/>
          <w:kern w:val="0"/>
          <w:sz w:val="24"/>
          <w:szCs w:val="21"/>
          <w:highlight w:val="none"/>
          <w:u w:val="single"/>
        </w:rPr>
        <w:t xml:space="preserve">  </w:t>
      </w:r>
      <w:r>
        <w:rPr>
          <w:rFonts w:hint="eastAsia" w:ascii="宋体" w:hAnsi="宋体" w:eastAsia="宋体" w:cs="宋体"/>
          <w:snapToGrid w:val="0"/>
          <w:kern w:val="0"/>
          <w:sz w:val="24"/>
          <w:szCs w:val="21"/>
          <w:highlight w:val="none"/>
        </w:rPr>
        <w:t>月</w:t>
      </w:r>
      <w:r>
        <w:rPr>
          <w:rFonts w:hint="eastAsia" w:ascii="宋体" w:hAnsi="宋体" w:eastAsia="宋体" w:cs="宋体"/>
          <w:snapToGrid w:val="0"/>
          <w:sz w:val="24"/>
          <w:szCs w:val="21"/>
          <w:highlight w:val="none"/>
          <w:u w:val="single"/>
        </w:rPr>
        <w:t xml:space="preserve">   </w:t>
      </w:r>
      <w:r>
        <w:rPr>
          <w:rFonts w:hint="eastAsia" w:ascii="宋体" w:hAnsi="宋体" w:eastAsia="宋体" w:cs="宋体"/>
          <w:snapToGrid w:val="0"/>
          <w:kern w:val="0"/>
          <w:sz w:val="24"/>
          <w:szCs w:val="21"/>
          <w:highlight w:val="none"/>
          <w:u w:val="single"/>
        </w:rPr>
        <w:t xml:space="preserve">  </w:t>
      </w:r>
      <w:r>
        <w:rPr>
          <w:rFonts w:hint="eastAsia" w:ascii="宋体" w:hAnsi="宋体" w:eastAsia="宋体" w:cs="宋体"/>
          <w:snapToGrid w:val="0"/>
          <w:kern w:val="0"/>
          <w:sz w:val="24"/>
          <w:szCs w:val="21"/>
          <w:highlight w:val="none"/>
        </w:rPr>
        <w:t>日</w:t>
      </w:r>
    </w:p>
    <w:p w14:paraId="7DDD0360">
      <w:pPr>
        <w:snapToGrid w:val="0"/>
        <w:spacing w:line="360" w:lineRule="auto"/>
        <w:rPr>
          <w:rFonts w:hint="eastAsia" w:ascii="宋体" w:hAnsi="宋体" w:eastAsia="宋体" w:cs="宋体"/>
          <w:snapToGrid w:val="0"/>
          <w:color w:val="auto"/>
          <w:kern w:val="0"/>
          <w:sz w:val="24"/>
          <w:highlight w:val="none"/>
          <w:lang w:bidi="en-US"/>
        </w:rPr>
      </w:pPr>
      <w:r>
        <w:rPr>
          <w:rFonts w:hint="eastAsia" w:ascii="宋体" w:hAnsi="宋体" w:eastAsia="宋体" w:cs="宋体"/>
          <w:snapToGrid w:val="0"/>
          <w:color w:val="auto"/>
          <w:kern w:val="0"/>
          <w:sz w:val="24"/>
          <w:highlight w:val="none"/>
          <w:lang w:bidi="en-US"/>
        </w:rPr>
        <w:br w:type="page"/>
      </w:r>
      <w:r>
        <w:rPr>
          <w:rFonts w:hint="eastAsia" w:ascii="宋体" w:hAnsi="宋体" w:eastAsia="宋体" w:cs="宋体"/>
          <w:b/>
          <w:bCs/>
          <w:snapToGrid w:val="0"/>
          <w:color w:val="auto"/>
          <w:kern w:val="0"/>
          <w:sz w:val="24"/>
          <w:highlight w:val="none"/>
          <w:lang w:bidi="en-US"/>
        </w:rPr>
        <w:t>附件</w:t>
      </w:r>
      <w:r>
        <w:rPr>
          <w:rFonts w:hint="eastAsia" w:ascii="宋体" w:hAnsi="宋体" w:eastAsia="宋体" w:cs="宋体"/>
          <w:b/>
          <w:bCs/>
          <w:snapToGrid w:val="0"/>
          <w:color w:val="auto"/>
          <w:kern w:val="0"/>
          <w:sz w:val="24"/>
          <w:highlight w:val="none"/>
          <w:lang w:val="en-US" w:eastAsia="zh-CN" w:bidi="en-US"/>
        </w:rPr>
        <w:t>14</w:t>
      </w:r>
      <w:r>
        <w:rPr>
          <w:rFonts w:hint="eastAsia" w:ascii="宋体" w:hAnsi="宋体" w:eastAsia="宋体" w:cs="宋体"/>
          <w:b/>
          <w:bCs/>
          <w:snapToGrid w:val="0"/>
          <w:color w:val="auto"/>
          <w:kern w:val="0"/>
          <w:sz w:val="24"/>
          <w:highlight w:val="none"/>
          <w:lang w:bidi="en-US"/>
        </w:rPr>
        <w:t>：谈判文件费支付凭证截图</w:t>
      </w:r>
      <w:bookmarkEnd w:id="48"/>
    </w:p>
    <w:p w14:paraId="101EF4B3">
      <w:pPr>
        <w:rPr>
          <w:rFonts w:hint="eastAsia" w:ascii="宋体" w:hAnsi="宋体" w:eastAsia="宋体" w:cs="宋体"/>
          <w:color w:val="auto"/>
          <w:sz w:val="22"/>
          <w:szCs w:val="21"/>
          <w:highlight w:val="none"/>
          <w:lang w:bidi="ar"/>
        </w:rPr>
      </w:pPr>
      <w:r>
        <w:rPr>
          <w:rFonts w:hint="eastAsia" w:ascii="宋体" w:hAnsi="宋体" w:eastAsia="宋体" w:cs="宋体"/>
          <w:color w:val="auto"/>
          <w:sz w:val="22"/>
          <w:szCs w:val="21"/>
          <w:highlight w:val="none"/>
          <w:lang w:bidi="ar"/>
        </w:rPr>
        <w:t>收费二维码如下图：</w:t>
      </w:r>
    </w:p>
    <w:p w14:paraId="532970D9">
      <w:pPr>
        <w:snapToGrid w:val="0"/>
        <w:spacing w:line="360" w:lineRule="auto"/>
        <w:rPr>
          <w:rFonts w:hint="eastAsia" w:ascii="宋体" w:hAnsi="宋体" w:eastAsia="宋体" w:cs="宋体"/>
          <w:snapToGrid w:val="0"/>
          <w:color w:val="auto"/>
          <w:kern w:val="0"/>
          <w:sz w:val="24"/>
          <w:highlight w:val="none"/>
          <w:lang w:bidi="en-US"/>
        </w:rPr>
      </w:pPr>
    </w:p>
    <w:p w14:paraId="691D1387">
      <w:pPr>
        <w:jc w:val="center"/>
        <w:rPr>
          <w:rFonts w:hint="eastAsia" w:ascii="宋体" w:hAnsi="宋体" w:eastAsia="宋体" w:cs="宋体"/>
          <w:color w:val="auto"/>
          <w:highlight w:val="none"/>
        </w:rPr>
      </w:pPr>
      <w:r>
        <w:rPr>
          <w:rFonts w:hint="eastAsia" w:ascii="宋体" w:hAnsi="宋体" w:eastAsia="宋体" w:cs="宋体"/>
        </w:rPr>
        <w:drawing>
          <wp:inline distT="0" distB="0" distL="114300" distR="114300">
            <wp:extent cx="4394835" cy="3938270"/>
            <wp:effectExtent l="0" t="0" r="12065" b="1143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8"/>
                    <a:stretch>
                      <a:fillRect/>
                    </a:stretch>
                  </pic:blipFill>
                  <pic:spPr>
                    <a:xfrm>
                      <a:off x="0" y="0"/>
                      <a:ext cx="4394835" cy="3938270"/>
                    </a:xfrm>
                    <a:prstGeom prst="rect">
                      <a:avLst/>
                    </a:prstGeom>
                    <a:noFill/>
                    <a:ln>
                      <a:noFill/>
                    </a:ln>
                  </pic:spPr>
                </pic:pic>
              </a:graphicData>
            </a:graphic>
          </wp:inline>
        </w:drawing>
      </w:r>
    </w:p>
    <w:p w14:paraId="02BCD3A9">
      <w:pPr>
        <w:jc w:val="center"/>
        <w:rPr>
          <w:rFonts w:hint="eastAsia" w:ascii="宋体" w:hAnsi="宋体" w:eastAsia="宋体" w:cs="宋体"/>
          <w:color w:val="auto"/>
          <w:highlight w:val="none"/>
        </w:rPr>
      </w:pPr>
    </w:p>
    <w:p w14:paraId="2F7F8886">
      <w:pPr>
        <w:rPr>
          <w:rFonts w:hint="eastAsia" w:ascii="宋体" w:hAnsi="宋体" w:eastAsia="宋体" w:cs="宋体"/>
          <w:snapToGrid w:val="0"/>
          <w:color w:val="auto"/>
          <w:kern w:val="0"/>
          <w:sz w:val="24"/>
          <w:highlight w:val="none"/>
          <w:lang w:eastAsia="zh-CN" w:bidi="en-US"/>
        </w:rPr>
      </w:pPr>
      <w:r>
        <w:rPr>
          <w:rFonts w:hint="eastAsia" w:ascii="宋体" w:hAnsi="宋体" w:eastAsia="宋体" w:cs="宋体"/>
          <w:snapToGrid w:val="0"/>
          <w:color w:val="auto"/>
          <w:kern w:val="0"/>
          <w:sz w:val="24"/>
          <w:highlight w:val="none"/>
          <w:lang w:bidi="en-US"/>
        </w:rPr>
        <w:t>附：</w:t>
      </w:r>
      <w:r>
        <w:rPr>
          <w:rFonts w:hint="eastAsia" w:ascii="宋体" w:hAnsi="宋体" w:eastAsia="宋体" w:cs="宋体"/>
          <w:snapToGrid w:val="0"/>
          <w:color w:val="auto"/>
          <w:kern w:val="0"/>
          <w:sz w:val="24"/>
          <w:highlight w:val="none"/>
          <w:lang w:val="en-US" w:eastAsia="zh-CN" w:bidi="en-US"/>
        </w:rPr>
        <w:t>供应商</w:t>
      </w:r>
      <w:r>
        <w:rPr>
          <w:rFonts w:hint="eastAsia" w:ascii="宋体" w:hAnsi="宋体" w:eastAsia="宋体" w:cs="宋体"/>
          <w:snapToGrid w:val="0"/>
          <w:color w:val="auto"/>
          <w:kern w:val="0"/>
          <w:sz w:val="24"/>
          <w:highlight w:val="none"/>
          <w:lang w:bidi="en-US"/>
        </w:rPr>
        <w:t>文件费支付截图</w:t>
      </w:r>
      <w:r>
        <w:rPr>
          <w:rFonts w:hint="eastAsia" w:ascii="宋体" w:hAnsi="宋体" w:eastAsia="宋体" w:cs="宋体"/>
          <w:snapToGrid w:val="0"/>
          <w:color w:val="auto"/>
          <w:kern w:val="0"/>
          <w:sz w:val="24"/>
          <w:highlight w:val="none"/>
          <w:lang w:eastAsia="zh-CN" w:bidi="en-US"/>
        </w:rPr>
        <w:t>：</w:t>
      </w:r>
    </w:p>
    <w:p w14:paraId="6B76FF9A">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2CD69F"/>
    <w:multiLevelType w:val="singleLevel"/>
    <w:tmpl w:val="032CD69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516797"/>
    <w:rsid w:val="06D8516B"/>
    <w:rsid w:val="0A6767AA"/>
    <w:rsid w:val="0E6C0832"/>
    <w:rsid w:val="0E9B4C74"/>
    <w:rsid w:val="0EE52393"/>
    <w:rsid w:val="12ED7A68"/>
    <w:rsid w:val="19E35721"/>
    <w:rsid w:val="1B803B6F"/>
    <w:rsid w:val="1CD221A8"/>
    <w:rsid w:val="23ED5B1A"/>
    <w:rsid w:val="29B37F28"/>
    <w:rsid w:val="2CCB09C2"/>
    <w:rsid w:val="2DCD3AA1"/>
    <w:rsid w:val="33122EA7"/>
    <w:rsid w:val="34EC3BCC"/>
    <w:rsid w:val="3AD83130"/>
    <w:rsid w:val="41E40104"/>
    <w:rsid w:val="45E501BF"/>
    <w:rsid w:val="4C602A7D"/>
    <w:rsid w:val="4E816CDB"/>
    <w:rsid w:val="4EEF2AAB"/>
    <w:rsid w:val="4F4915A7"/>
    <w:rsid w:val="4F516797"/>
    <w:rsid w:val="50865D61"/>
    <w:rsid w:val="557D01FC"/>
    <w:rsid w:val="5A7D47FA"/>
    <w:rsid w:val="645E569D"/>
    <w:rsid w:val="65736F26"/>
    <w:rsid w:val="6D205B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6" w:lineRule="auto"/>
      <w:outlineLvl w:val="0"/>
    </w:pPr>
    <w:rPr>
      <w:rFonts w:ascii="Times New Roman" w:hAnsi="Times New Roman"/>
      <w:b/>
      <w:kern w:val="44"/>
      <w:sz w:val="44"/>
      <w:szCs w:val="20"/>
    </w:rPr>
  </w:style>
  <w:style w:type="character" w:default="1" w:styleId="5">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
    <w:name w:val="List Paragraph"/>
    <w:basedOn w:val="1"/>
    <w:qFormat/>
    <w:uiPriority w:val="99"/>
    <w:pPr>
      <w:ind w:firstLine="420" w:firstLineChars="200"/>
    </w:pPr>
  </w:style>
  <w:style w:type="table" w:customStyle="1" w:styleId="7">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50</Pages>
  <Words>11574</Words>
  <Characters>13610</Characters>
  <Lines>0</Lines>
  <Paragraphs>0</Paragraphs>
  <TotalTime>8</TotalTime>
  <ScaleCrop>false</ScaleCrop>
  <LinksUpToDate>false</LinksUpToDate>
  <CharactersWithSpaces>13623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2026-03-01T06:52:00Z</dcterms:created>
  <dc:creator>丁旭</dc:creator>
  <cp:lastModifiedBy>丁旭</cp:lastModifiedBy>
  <dcterms:modified xsi:type="dcterms:W3CDTF">2026-03-01T07:07:25Z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ADB0B6824F034BDF882309F6F43EF01D_11</vt:lpwstr>
  </property>
  <property fmtid="{D5CDD505-2E9C-101B-9397-08002B2CF9AE}" pid="4" name="KSOTemplateDocerSaveRecord">
    <vt:lpwstr>eyJoZGlkIjoiMzEwNTM5NzYwMDRjMzkwZTVkZjY2ODkwMGIxNGU0OTUiLCJ1c2VySWQiOiIxMzc3MjE2Mzk3In0=</vt:lpwstr>
  </property>
</Properties>
</file>