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92A05">
      <w:pPr>
        <w:jc w:val="center"/>
        <w:rPr>
          <w:rFonts w:ascii="方正小标宋简体" w:hAnsi="微软雅黑" w:eastAsia="方正小标宋简体" w:cs="微软雅黑"/>
          <w:b/>
          <w:sz w:val="36"/>
          <w:szCs w:val="36"/>
          <w:highlight w:val="none"/>
        </w:rPr>
      </w:pPr>
      <w:bookmarkStart w:id="161" w:name="_GoBack"/>
      <w:bookmarkEnd w:id="161"/>
    </w:p>
    <w:p w14:paraId="75858358">
      <w:pPr>
        <w:jc w:val="center"/>
        <w:rPr>
          <w:rFonts w:ascii="方正小标宋简体" w:hAnsi="微软雅黑" w:eastAsia="方正小标宋简体" w:cs="微软雅黑"/>
          <w:b/>
          <w:sz w:val="52"/>
          <w:szCs w:val="52"/>
          <w:highlight w:val="none"/>
        </w:rPr>
      </w:pPr>
      <w:r>
        <w:rPr>
          <w:rFonts w:hint="eastAsia" w:ascii="方正小标宋简体" w:hAnsi="微软雅黑" w:eastAsia="方正小标宋简体" w:cs="微软雅黑"/>
          <w:b/>
          <w:sz w:val="52"/>
          <w:szCs w:val="52"/>
          <w:highlight w:val="none"/>
        </w:rPr>
        <w:t>福田公司</w:t>
      </w:r>
    </w:p>
    <w:p w14:paraId="0B7609D1">
      <w:pPr>
        <w:jc w:val="center"/>
        <w:rPr>
          <w:rFonts w:hint="eastAsia" w:ascii="方正小标宋简体" w:hAnsi="微软雅黑" w:eastAsia="方正小标宋简体" w:cs="微软雅黑"/>
          <w:b/>
          <w:sz w:val="52"/>
          <w:szCs w:val="52"/>
          <w:highlight w:val="none"/>
        </w:rPr>
      </w:pPr>
      <w:r>
        <w:rPr>
          <w:rFonts w:ascii="方正小标宋简体" w:hAnsi="微软雅黑" w:eastAsia="方正小标宋简体" w:cs="微软雅黑"/>
          <w:b/>
          <w:sz w:val="52"/>
          <w:szCs w:val="52"/>
          <w:highlight w:val="none"/>
        </w:rPr>
        <w:t xml:space="preserve"> </w:t>
      </w:r>
      <w:r>
        <w:rPr>
          <w:rFonts w:hint="eastAsia" w:ascii="方正小标宋简体" w:hAnsi="微软雅黑" w:eastAsia="方正小标宋简体" w:cs="微软雅黑"/>
          <w:b/>
          <w:sz w:val="52"/>
          <w:szCs w:val="52"/>
          <w:highlight w:val="none"/>
        </w:rPr>
        <w:t>对越南</w:t>
      </w:r>
      <w:r>
        <w:rPr>
          <w:rFonts w:hint="eastAsia" w:ascii="方正小标宋简体" w:hAnsi="微软雅黑" w:eastAsia="方正小标宋简体" w:cs="微软雅黑"/>
          <w:b/>
          <w:sz w:val="52"/>
          <w:szCs w:val="52"/>
          <w:highlight w:val="none"/>
          <w:lang w:val="en-US" w:eastAsia="zh-CN"/>
        </w:rPr>
        <w:t>两家</w:t>
      </w:r>
      <w:r>
        <w:rPr>
          <w:rFonts w:hint="eastAsia" w:ascii="方正小标宋简体" w:hAnsi="微软雅黑" w:eastAsia="方正小标宋简体" w:cs="微软雅黑"/>
          <w:b/>
          <w:sz w:val="52"/>
          <w:szCs w:val="52"/>
          <w:highlight w:val="none"/>
        </w:rPr>
        <w:t>公司资产及股权价值</w:t>
      </w:r>
    </w:p>
    <w:p w14:paraId="7FE3C9E1">
      <w:pPr>
        <w:jc w:val="center"/>
        <w:rPr>
          <w:rFonts w:ascii="方正小标宋简体" w:hAnsi="微软雅黑" w:eastAsia="方正小标宋简体" w:cs="微软雅黑"/>
          <w:b/>
          <w:sz w:val="52"/>
          <w:szCs w:val="52"/>
          <w:highlight w:val="none"/>
        </w:rPr>
      </w:pPr>
      <w:r>
        <w:rPr>
          <w:rFonts w:hint="eastAsia" w:ascii="方正小标宋简体" w:hAnsi="微软雅黑" w:eastAsia="方正小标宋简体" w:cs="微软雅黑"/>
          <w:b/>
          <w:sz w:val="52"/>
          <w:szCs w:val="52"/>
          <w:highlight w:val="none"/>
        </w:rPr>
        <w:t>评估服务</w:t>
      </w:r>
    </w:p>
    <w:p w14:paraId="3DC35C7A">
      <w:pPr>
        <w:jc w:val="both"/>
        <w:rPr>
          <w:rFonts w:ascii="方正小标宋简体" w:hAnsi="微软雅黑" w:eastAsia="方正小标宋简体" w:cs="微软雅黑"/>
          <w:b/>
          <w:sz w:val="36"/>
          <w:szCs w:val="36"/>
          <w:highlight w:val="none"/>
        </w:rPr>
      </w:pPr>
    </w:p>
    <w:p w14:paraId="6573EBAD">
      <w:pPr>
        <w:jc w:val="center"/>
        <w:rPr>
          <w:rFonts w:ascii="方正小标宋简体" w:hAnsi="微软雅黑" w:eastAsia="方正小标宋简体" w:cs="微软雅黑"/>
          <w:b/>
          <w:sz w:val="36"/>
          <w:szCs w:val="36"/>
          <w:highlight w:val="none"/>
        </w:rPr>
      </w:pPr>
    </w:p>
    <w:p w14:paraId="5F9C60A8">
      <w:pPr>
        <w:jc w:val="center"/>
        <w:rPr>
          <w:rFonts w:ascii="方正小标宋简体" w:hAnsi="微软雅黑" w:eastAsia="方正小标宋简体" w:cs="微软雅黑"/>
          <w:b/>
          <w:sz w:val="36"/>
          <w:szCs w:val="36"/>
          <w:highlight w:val="none"/>
        </w:rPr>
      </w:pPr>
    </w:p>
    <w:p w14:paraId="7FC5FF9A">
      <w:pPr>
        <w:jc w:val="center"/>
        <w:rPr>
          <w:rFonts w:ascii="方正小标宋简体" w:hAnsi="微软雅黑" w:eastAsia="方正小标宋简体" w:cs="微软雅黑"/>
          <w:b/>
          <w:sz w:val="52"/>
          <w:szCs w:val="52"/>
          <w:highlight w:val="none"/>
        </w:rPr>
      </w:pPr>
      <w:r>
        <w:rPr>
          <w:rFonts w:hint="eastAsia" w:ascii="方正小标宋简体" w:hAnsi="微软雅黑" w:eastAsia="方正小标宋简体" w:cs="微软雅黑"/>
          <w:b/>
          <w:sz w:val="52"/>
          <w:szCs w:val="52"/>
          <w:highlight w:val="none"/>
          <w:lang w:val="en-US" w:eastAsia="zh-CN"/>
        </w:rPr>
        <w:t>询比</w:t>
      </w:r>
      <w:r>
        <w:rPr>
          <w:rFonts w:hint="eastAsia" w:ascii="方正小标宋简体" w:hAnsi="微软雅黑" w:eastAsia="方正小标宋简体" w:cs="微软雅黑"/>
          <w:b/>
          <w:sz w:val="52"/>
          <w:szCs w:val="52"/>
          <w:highlight w:val="none"/>
        </w:rPr>
        <w:t>采购文件</w:t>
      </w:r>
    </w:p>
    <w:p w14:paraId="1789A873">
      <w:pPr>
        <w:jc w:val="center"/>
        <w:rPr>
          <w:rFonts w:ascii="方正小标宋简体" w:hAnsi="微软雅黑" w:eastAsia="方正小标宋简体" w:cs="微软雅黑"/>
          <w:b/>
          <w:sz w:val="36"/>
          <w:szCs w:val="36"/>
          <w:highlight w:val="none"/>
        </w:rPr>
      </w:pPr>
    </w:p>
    <w:p w14:paraId="442CBC2F">
      <w:pPr>
        <w:jc w:val="center"/>
        <w:rPr>
          <w:rFonts w:ascii="方正小标宋简体" w:hAnsi="微软雅黑" w:eastAsia="方正小标宋简体" w:cs="微软雅黑"/>
          <w:b/>
          <w:sz w:val="36"/>
          <w:szCs w:val="36"/>
          <w:highlight w:val="none"/>
        </w:rPr>
      </w:pPr>
    </w:p>
    <w:p w14:paraId="051355F9">
      <w:pPr>
        <w:jc w:val="center"/>
        <w:rPr>
          <w:rFonts w:ascii="方正小标宋简体" w:hAnsi="微软雅黑" w:eastAsia="方正小标宋简体" w:cs="微软雅黑"/>
          <w:b/>
          <w:sz w:val="36"/>
          <w:szCs w:val="36"/>
          <w:highlight w:val="none"/>
        </w:rPr>
      </w:pPr>
    </w:p>
    <w:p w14:paraId="1223DA7E">
      <w:pPr>
        <w:jc w:val="center"/>
        <w:rPr>
          <w:rFonts w:ascii="方正小标宋简体" w:hAnsi="微软雅黑" w:eastAsia="方正小标宋简体" w:cs="微软雅黑"/>
          <w:b/>
          <w:sz w:val="36"/>
          <w:szCs w:val="36"/>
          <w:highlight w:val="none"/>
        </w:rPr>
      </w:pPr>
    </w:p>
    <w:p w14:paraId="152F3B95">
      <w:pPr>
        <w:rPr>
          <w:rFonts w:hint="eastAsia" w:ascii="方正小标宋简体" w:hAnsi="微软雅黑" w:eastAsia="方正小标宋简体" w:cs="微软雅黑"/>
          <w:b/>
          <w:sz w:val="36"/>
          <w:szCs w:val="36"/>
          <w:highlight w:val="none"/>
        </w:rPr>
      </w:pPr>
    </w:p>
    <w:p w14:paraId="2F13E949">
      <w:pPr>
        <w:jc w:val="center"/>
        <w:rPr>
          <w:rFonts w:ascii="方正小标宋简体" w:hAnsi="微软雅黑" w:eastAsia="方正小标宋简体" w:cs="微软雅黑"/>
          <w:b/>
          <w:sz w:val="36"/>
          <w:szCs w:val="36"/>
          <w:highlight w:val="none"/>
        </w:rPr>
      </w:pPr>
      <w:r>
        <w:rPr>
          <w:rFonts w:hint="eastAsia" w:ascii="方正小标宋简体" w:hAnsi="微软雅黑" w:eastAsia="方正小标宋简体" w:cs="微软雅黑"/>
          <w:b/>
          <w:sz w:val="36"/>
          <w:szCs w:val="36"/>
          <w:highlight w:val="none"/>
        </w:rPr>
        <w:t>中国中纺集团有限公司</w:t>
      </w:r>
    </w:p>
    <w:p w14:paraId="0EB61423">
      <w:pPr>
        <w:jc w:val="center"/>
        <w:rPr>
          <w:rFonts w:ascii="方正小标宋简体" w:hAnsi="微软雅黑" w:eastAsia="方正小标宋简体" w:cs="微软雅黑"/>
          <w:b/>
          <w:sz w:val="36"/>
          <w:szCs w:val="36"/>
          <w:highlight w:val="none"/>
        </w:rPr>
      </w:pPr>
      <w:r>
        <w:rPr>
          <w:rFonts w:hint="eastAsia" w:ascii="方正小标宋简体" w:hAnsi="微软雅黑" w:eastAsia="方正小标宋简体" w:cs="微软雅黑"/>
          <w:b/>
          <w:sz w:val="36"/>
          <w:szCs w:val="36"/>
          <w:highlight w:val="none"/>
        </w:rPr>
        <w:t>二零二六年一月</w:t>
      </w:r>
      <w:r>
        <w:rPr>
          <w:rFonts w:hint="eastAsia" w:ascii="方正小标宋简体" w:hAnsi="微软雅黑" w:eastAsia="方正小标宋简体" w:cs="微软雅黑"/>
          <w:b/>
          <w:sz w:val="36"/>
          <w:szCs w:val="36"/>
          <w:highlight w:val="none"/>
        </w:rPr>
        <w:br w:type="page"/>
      </w:r>
    </w:p>
    <w:p w14:paraId="42E48342">
      <w:pPr>
        <w:pStyle w:val="8"/>
        <w:tabs>
          <w:tab w:val="right" w:leader="dot" w:pos="8296"/>
        </w:tabs>
        <w:jc w:val="center"/>
        <w:rPr>
          <w:rFonts w:ascii="方正小标宋简体" w:hAnsi="微软雅黑" w:eastAsia="方正小标宋简体" w:cs="微软雅黑"/>
          <w:b w:val="0"/>
          <w:sz w:val="36"/>
          <w:szCs w:val="36"/>
          <w:highlight w:val="none"/>
        </w:rPr>
      </w:pPr>
      <w:r>
        <w:rPr>
          <w:rFonts w:hint="eastAsia" w:ascii="方正小标宋简体" w:hAnsi="微软雅黑" w:eastAsia="方正小标宋简体" w:cs="微软雅黑"/>
          <w:b w:val="0"/>
          <w:sz w:val="36"/>
          <w:szCs w:val="36"/>
          <w:highlight w:val="none"/>
        </w:rPr>
        <w:t>目  录</w:t>
      </w:r>
    </w:p>
    <w:p w14:paraId="3B1E49B6">
      <w:pPr>
        <w:pStyle w:val="8"/>
        <w:tabs>
          <w:tab w:val="right" w:leader="dot" w:pos="8296"/>
        </w:tabs>
        <w:rPr>
          <w:rFonts w:ascii="方正小标宋简体" w:hAnsi="微软雅黑" w:eastAsia="方正小标宋简体" w:cs="微软雅黑"/>
          <w:b w:val="0"/>
          <w:sz w:val="36"/>
          <w:szCs w:val="36"/>
          <w:highlight w:val="none"/>
        </w:rPr>
      </w:pPr>
    </w:p>
    <w:p w14:paraId="027F0FC4">
      <w:pPr>
        <w:pStyle w:val="8"/>
        <w:tabs>
          <w:tab w:val="right" w:leader="dot" w:pos="8296"/>
        </w:tabs>
        <w:rPr>
          <w:rFonts w:eastAsiaTheme="minorEastAsia" w:cstheme="minorBidi"/>
          <w:b w:val="0"/>
          <w:bCs w:val="0"/>
          <w:caps w:val="0"/>
          <w:kern w:val="2"/>
          <w:sz w:val="28"/>
          <w:szCs w:val="22"/>
          <w:highlight w:val="none"/>
        </w:rPr>
      </w:pPr>
      <w:r>
        <w:rPr>
          <w:rFonts w:hint="eastAsia" w:ascii="方正小标宋简体" w:hAnsi="微软雅黑" w:eastAsia="方正小标宋简体" w:cs="微软雅黑"/>
          <w:b w:val="0"/>
          <w:sz w:val="24"/>
          <w:szCs w:val="36"/>
          <w:highlight w:val="none"/>
        </w:rPr>
        <w:fldChar w:fldCharType="begin"/>
      </w:r>
      <w:r>
        <w:rPr>
          <w:rFonts w:hint="eastAsia" w:ascii="方正小标宋简体" w:hAnsi="微软雅黑" w:eastAsia="方正小标宋简体" w:cs="微软雅黑"/>
          <w:b w:val="0"/>
          <w:sz w:val="24"/>
          <w:szCs w:val="36"/>
          <w:highlight w:val="none"/>
        </w:rPr>
        <w:instrText xml:space="preserve"> TOC \f \u \t "标题,1" </w:instrText>
      </w:r>
      <w:r>
        <w:rPr>
          <w:rFonts w:hint="eastAsia" w:ascii="方正小标宋简体" w:hAnsi="微软雅黑" w:eastAsia="方正小标宋简体" w:cs="微软雅黑"/>
          <w:b w:val="0"/>
          <w:sz w:val="24"/>
          <w:szCs w:val="36"/>
          <w:highlight w:val="none"/>
        </w:rPr>
        <w:fldChar w:fldCharType="separate"/>
      </w:r>
      <w:r>
        <w:rPr>
          <w:sz w:val="28"/>
          <w:highlight w:val="none"/>
        </w:rPr>
        <w:t xml:space="preserve">第一部分 </w:t>
      </w:r>
      <w:r>
        <w:rPr>
          <w:rFonts w:hint="eastAsia"/>
          <w:sz w:val="28"/>
          <w:highlight w:val="none"/>
          <w:lang w:eastAsia="zh-CN"/>
        </w:rPr>
        <w:t>询比</w:t>
      </w:r>
      <w:r>
        <w:rPr>
          <w:rFonts w:hint="eastAsia"/>
          <w:sz w:val="28"/>
          <w:highlight w:val="none"/>
        </w:rPr>
        <w:t>采购公告</w:t>
      </w:r>
      <w:r>
        <w:rPr>
          <w:sz w:val="28"/>
          <w:highlight w:val="none"/>
        </w:rPr>
        <w:tab/>
      </w:r>
      <w:r>
        <w:rPr>
          <w:sz w:val="28"/>
          <w:highlight w:val="none"/>
        </w:rPr>
        <w:fldChar w:fldCharType="begin"/>
      </w:r>
      <w:r>
        <w:rPr>
          <w:sz w:val="28"/>
          <w:highlight w:val="none"/>
        </w:rPr>
        <w:instrText xml:space="preserve"> PAGEREF _Toc150371604 \h </w:instrText>
      </w:r>
      <w:r>
        <w:rPr>
          <w:sz w:val="28"/>
          <w:highlight w:val="none"/>
        </w:rPr>
        <w:fldChar w:fldCharType="separate"/>
      </w:r>
      <w:r>
        <w:rPr>
          <w:sz w:val="28"/>
          <w:highlight w:val="none"/>
        </w:rPr>
        <w:t>1</w:t>
      </w:r>
      <w:r>
        <w:rPr>
          <w:sz w:val="28"/>
          <w:highlight w:val="none"/>
        </w:rPr>
        <w:fldChar w:fldCharType="end"/>
      </w:r>
    </w:p>
    <w:p w14:paraId="39A24CD7">
      <w:pPr>
        <w:pStyle w:val="8"/>
        <w:tabs>
          <w:tab w:val="right" w:leader="dot" w:pos="8296"/>
        </w:tabs>
        <w:rPr>
          <w:rFonts w:cstheme="minorBidi"/>
          <w:b w:val="0"/>
          <w:bCs w:val="0"/>
          <w:caps w:val="0"/>
          <w:kern w:val="2"/>
          <w:sz w:val="28"/>
          <w:szCs w:val="22"/>
          <w:highlight w:val="none"/>
        </w:rPr>
      </w:pPr>
      <w:r>
        <w:rPr>
          <w:sz w:val="28"/>
          <w:highlight w:val="none"/>
        </w:rPr>
        <w:t>第二部分 服务须知</w:t>
      </w:r>
      <w:r>
        <w:rPr>
          <w:sz w:val="28"/>
          <w:highlight w:val="none"/>
        </w:rPr>
        <w:tab/>
      </w:r>
      <w:r>
        <w:rPr>
          <w:rFonts w:hint="eastAsia"/>
          <w:sz w:val="28"/>
          <w:highlight w:val="none"/>
        </w:rPr>
        <w:t>4</w:t>
      </w:r>
    </w:p>
    <w:p w14:paraId="7FAE55CA">
      <w:pPr>
        <w:pStyle w:val="8"/>
        <w:tabs>
          <w:tab w:val="right" w:leader="dot" w:pos="8296"/>
        </w:tabs>
        <w:rPr>
          <w:rFonts w:eastAsiaTheme="minorEastAsia" w:cstheme="minorBidi"/>
          <w:b w:val="0"/>
          <w:bCs w:val="0"/>
          <w:caps w:val="0"/>
          <w:kern w:val="2"/>
          <w:sz w:val="28"/>
          <w:szCs w:val="22"/>
          <w:highlight w:val="none"/>
        </w:rPr>
      </w:pPr>
      <w:r>
        <w:rPr>
          <w:sz w:val="28"/>
          <w:highlight w:val="none"/>
        </w:rPr>
        <w:t>第三部分 响应文件格式</w:t>
      </w:r>
      <w:r>
        <w:rPr>
          <w:sz w:val="28"/>
          <w:highlight w:val="none"/>
        </w:rPr>
        <w:tab/>
      </w:r>
      <w:r>
        <w:rPr>
          <w:sz w:val="28"/>
          <w:highlight w:val="none"/>
        </w:rPr>
        <w:fldChar w:fldCharType="begin"/>
      </w:r>
      <w:r>
        <w:rPr>
          <w:sz w:val="28"/>
          <w:highlight w:val="none"/>
        </w:rPr>
        <w:instrText xml:space="preserve"> PAGEREF _Toc150371606 \h </w:instrText>
      </w:r>
      <w:r>
        <w:rPr>
          <w:sz w:val="28"/>
          <w:highlight w:val="none"/>
        </w:rPr>
        <w:fldChar w:fldCharType="separate"/>
      </w:r>
      <w:r>
        <w:rPr>
          <w:sz w:val="28"/>
          <w:highlight w:val="none"/>
        </w:rPr>
        <w:t>11</w:t>
      </w:r>
      <w:r>
        <w:rPr>
          <w:sz w:val="28"/>
          <w:highlight w:val="none"/>
        </w:rPr>
        <w:fldChar w:fldCharType="end"/>
      </w:r>
    </w:p>
    <w:p w14:paraId="674C262A">
      <w:pPr>
        <w:rPr>
          <w:rFonts w:ascii="方正小标宋简体" w:hAnsi="微软雅黑" w:eastAsia="方正小标宋简体" w:cs="微软雅黑"/>
          <w:b/>
          <w:sz w:val="36"/>
          <w:szCs w:val="36"/>
          <w:highlight w:val="none"/>
        </w:rPr>
      </w:pPr>
      <w:r>
        <w:rPr>
          <w:rFonts w:hint="eastAsia" w:ascii="方正小标宋简体" w:hAnsi="微软雅黑" w:eastAsia="方正小标宋简体" w:cs="微软雅黑"/>
          <w:b/>
          <w:sz w:val="24"/>
          <w:szCs w:val="36"/>
          <w:highlight w:val="none"/>
        </w:rPr>
        <w:fldChar w:fldCharType="end"/>
      </w:r>
      <w:r>
        <w:rPr>
          <w:rFonts w:hint="eastAsia" w:ascii="方正小标宋简体" w:hAnsi="微软雅黑" w:eastAsia="方正小标宋简体" w:cs="微软雅黑"/>
          <w:b/>
          <w:sz w:val="36"/>
          <w:szCs w:val="36"/>
          <w:highlight w:val="none"/>
        </w:rPr>
        <w:br w:type="page"/>
      </w:r>
    </w:p>
    <w:p w14:paraId="27D115F3">
      <w:pPr>
        <w:rPr>
          <w:rFonts w:ascii="方正小标宋简体" w:hAnsi="微软雅黑" w:eastAsia="方正小标宋简体" w:cs="微软雅黑"/>
          <w:b/>
          <w:sz w:val="36"/>
          <w:szCs w:val="36"/>
          <w:highlight w:val="none"/>
        </w:rPr>
        <w:sectPr>
          <w:footerReference r:id="rId5" w:type="default"/>
          <w:pgSz w:w="11906" w:h="16838"/>
          <w:pgMar w:top="1440" w:right="1800" w:bottom="1440" w:left="1800" w:header="964" w:footer="992" w:gutter="0"/>
          <w:pgNumType w:start="1"/>
          <w:cols w:space="720" w:num="1"/>
          <w:docGrid w:type="lines" w:linePitch="326" w:charSpace="0"/>
        </w:sectPr>
      </w:pPr>
    </w:p>
    <w:p w14:paraId="58CEF6E8">
      <w:pPr>
        <w:pStyle w:val="9"/>
        <w:spacing w:line="560" w:lineRule="exact"/>
        <w:rPr>
          <w:highlight w:val="none"/>
        </w:rPr>
      </w:pPr>
      <w:bookmarkStart w:id="0" w:name="_Toc86914067"/>
      <w:bookmarkStart w:id="1" w:name="_Toc150371604"/>
      <w:r>
        <w:rPr>
          <w:rFonts w:hint="eastAsia"/>
          <w:highlight w:val="none"/>
        </w:rPr>
        <w:t>第一部分</w:t>
      </w:r>
      <w:r>
        <w:rPr>
          <w:highlight w:val="none"/>
        </w:rPr>
        <w:t xml:space="preserve"> </w:t>
      </w:r>
      <w:bookmarkEnd w:id="0"/>
      <w:bookmarkEnd w:id="1"/>
      <w:r>
        <w:rPr>
          <w:rFonts w:hint="eastAsia"/>
          <w:highlight w:val="none"/>
          <w:lang w:eastAsia="zh-CN"/>
        </w:rPr>
        <w:t>询比</w:t>
      </w:r>
      <w:r>
        <w:rPr>
          <w:rFonts w:hint="eastAsia"/>
          <w:highlight w:val="none"/>
        </w:rPr>
        <w:t>采购公告</w:t>
      </w:r>
    </w:p>
    <w:p w14:paraId="236FB339">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中国中纺集团有限公司（以下简称中国纺织）现拟通过</w:t>
      </w:r>
      <w:r>
        <w:rPr>
          <w:rFonts w:hint="eastAsia" w:ascii="仿宋" w:hAnsi="仿宋" w:eastAsia="仿宋"/>
          <w:sz w:val="24"/>
          <w:szCs w:val="32"/>
          <w:highlight w:val="none"/>
          <w:lang w:val="en-US" w:eastAsia="zh-CN"/>
        </w:rPr>
        <w:t>询比</w:t>
      </w:r>
      <w:r>
        <w:rPr>
          <w:rFonts w:hint="eastAsia" w:ascii="仿宋" w:hAnsi="仿宋" w:eastAsia="仿宋"/>
          <w:sz w:val="24"/>
          <w:szCs w:val="32"/>
          <w:highlight w:val="none"/>
        </w:rPr>
        <w:t>采购方式遴选评估服务机构。</w:t>
      </w:r>
    </w:p>
    <w:p w14:paraId="49A387B0">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一、项目名称</w:t>
      </w:r>
    </w:p>
    <w:p w14:paraId="192A8693">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福田公司对越南</w:t>
      </w:r>
      <w:r>
        <w:rPr>
          <w:rFonts w:hint="eastAsia" w:ascii="仿宋" w:hAnsi="仿宋" w:eastAsia="仿宋"/>
          <w:sz w:val="24"/>
          <w:szCs w:val="32"/>
          <w:highlight w:val="none"/>
          <w:lang w:eastAsia="zh-CN"/>
        </w:rPr>
        <w:t>A</w:t>
      </w:r>
      <w:r>
        <w:rPr>
          <w:rFonts w:ascii="仿宋" w:hAnsi="仿宋" w:eastAsia="仿宋"/>
          <w:sz w:val="24"/>
          <w:szCs w:val="32"/>
          <w:highlight w:val="none"/>
        </w:rPr>
        <w:t xml:space="preserve"> 与 </w:t>
      </w:r>
      <w:r>
        <w:rPr>
          <w:rFonts w:hint="eastAsia" w:ascii="仿宋" w:hAnsi="仿宋" w:eastAsia="仿宋"/>
          <w:sz w:val="24"/>
          <w:szCs w:val="32"/>
          <w:highlight w:val="none"/>
          <w:lang w:eastAsia="zh-CN"/>
        </w:rPr>
        <w:t>B</w:t>
      </w:r>
      <w:r>
        <w:rPr>
          <w:rFonts w:ascii="仿宋" w:hAnsi="仿宋" w:eastAsia="仿宋"/>
          <w:sz w:val="24"/>
          <w:szCs w:val="32"/>
          <w:highlight w:val="none"/>
        </w:rPr>
        <w:t xml:space="preserve"> </w:t>
      </w:r>
      <w:r>
        <w:rPr>
          <w:rFonts w:hint="eastAsia" w:ascii="仿宋" w:hAnsi="仿宋" w:eastAsia="仿宋"/>
          <w:sz w:val="24"/>
          <w:szCs w:val="32"/>
          <w:highlight w:val="none"/>
        </w:rPr>
        <w:t>公司</w:t>
      </w:r>
      <w:r>
        <w:rPr>
          <w:rFonts w:ascii="仿宋" w:hAnsi="仿宋" w:eastAsia="仿宋"/>
          <w:sz w:val="24"/>
          <w:szCs w:val="32"/>
          <w:highlight w:val="none"/>
        </w:rPr>
        <w:t>资产及股权价值</w:t>
      </w:r>
      <w:r>
        <w:rPr>
          <w:rFonts w:hint="eastAsia" w:ascii="仿宋" w:hAnsi="仿宋" w:eastAsia="仿宋"/>
          <w:sz w:val="24"/>
          <w:szCs w:val="32"/>
          <w:highlight w:val="none"/>
        </w:rPr>
        <w:t>评估服务</w:t>
      </w:r>
    </w:p>
    <w:p w14:paraId="1FD04DE4">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二、项目背景</w:t>
      </w:r>
    </w:p>
    <w:p w14:paraId="504A6BD0">
      <w:pPr>
        <w:spacing w:line="520" w:lineRule="exact"/>
        <w:jc w:val="both"/>
        <w:rPr>
          <w:rFonts w:ascii="仿宋" w:hAnsi="仿宋" w:eastAsia="仿宋"/>
          <w:sz w:val="24"/>
          <w:szCs w:val="32"/>
          <w:highlight w:val="none"/>
        </w:rPr>
      </w:pPr>
      <w:r>
        <w:rPr>
          <w:rFonts w:hint="eastAsia" w:ascii="仿宋" w:hAnsi="仿宋" w:eastAsia="仿宋"/>
          <w:sz w:val="24"/>
          <w:szCs w:val="32"/>
          <w:highlight w:val="none"/>
        </w:rPr>
        <w:t xml:space="preserve"> </w:t>
      </w:r>
      <w:r>
        <w:rPr>
          <w:rFonts w:ascii="仿宋" w:hAnsi="仿宋" w:eastAsia="仿宋"/>
          <w:sz w:val="24"/>
          <w:szCs w:val="32"/>
          <w:highlight w:val="none"/>
        </w:rPr>
        <w:t xml:space="preserve">   </w:t>
      </w:r>
      <w:r>
        <w:rPr>
          <w:rFonts w:hint="eastAsia" w:ascii="仿宋" w:hAnsi="仿宋" w:eastAsia="仿宋"/>
          <w:sz w:val="24"/>
          <w:szCs w:val="32"/>
          <w:highlight w:val="none"/>
        </w:rPr>
        <w:t>中国纺织下属福田实业</w:t>
      </w:r>
      <w:r>
        <w:rPr>
          <w:rFonts w:ascii="仿宋" w:hAnsi="仿宋" w:eastAsia="仿宋"/>
          <w:sz w:val="24"/>
          <w:szCs w:val="32"/>
          <w:highlight w:val="none"/>
        </w:rPr>
        <w:t>(集团)有限公司</w:t>
      </w:r>
      <w:r>
        <w:rPr>
          <w:rFonts w:hint="eastAsia" w:ascii="仿宋" w:hAnsi="仿宋" w:eastAsia="仿宋"/>
          <w:sz w:val="24"/>
          <w:szCs w:val="32"/>
          <w:highlight w:val="none"/>
        </w:rPr>
        <w:t xml:space="preserve">（以下简称福田公司）拟通过并购投资的方式进行业务扩展，本次服务机构选聘目的为完成 </w:t>
      </w:r>
      <w:r>
        <w:rPr>
          <w:rFonts w:hint="eastAsia" w:ascii="仿宋" w:hAnsi="仿宋" w:eastAsia="仿宋"/>
          <w:sz w:val="24"/>
          <w:szCs w:val="32"/>
          <w:highlight w:val="none"/>
          <w:lang w:eastAsia="zh-CN"/>
        </w:rPr>
        <w:t>A</w:t>
      </w:r>
      <w:r>
        <w:rPr>
          <w:rFonts w:hint="eastAsia" w:ascii="仿宋" w:hAnsi="仿宋" w:eastAsia="仿宋"/>
          <w:sz w:val="24"/>
          <w:szCs w:val="32"/>
          <w:highlight w:val="none"/>
        </w:rPr>
        <w:t xml:space="preserve"> 与 </w:t>
      </w:r>
      <w:r>
        <w:rPr>
          <w:rFonts w:hint="eastAsia" w:ascii="仿宋" w:hAnsi="仿宋" w:eastAsia="仿宋"/>
          <w:sz w:val="24"/>
          <w:szCs w:val="32"/>
          <w:highlight w:val="none"/>
          <w:lang w:eastAsia="zh-CN"/>
        </w:rPr>
        <w:t>B</w:t>
      </w:r>
      <w:r>
        <w:rPr>
          <w:rFonts w:hint="eastAsia" w:ascii="仿宋" w:hAnsi="仿宋" w:eastAsia="仿宋"/>
          <w:sz w:val="24"/>
          <w:szCs w:val="32"/>
          <w:highlight w:val="none"/>
        </w:rPr>
        <w:t xml:space="preserve"> 两家公司的长期资产及股权价值评估，为投资决策提供专业依据。具体服务内容分为两个阶段：第一阶段针对两家公司的无形资产土地、建筑物、机械设备、长期待摊费用及其他长期资产进行价值评估，出具评估结果；第二阶段对两家公司的全部股权价值全部评估，出具评估报告。评估服务需基于对应基准日（第一阶段基准日固定，第二阶段基准日待定）的审计报告开展，如评估期间发生调整，将与服务机构提前协商。同时，服务机构需配合委托方及其他中介机构完成投资所需的其他工作并准备相关材料，确保投资项目顺利实施。</w:t>
      </w:r>
    </w:p>
    <w:p w14:paraId="0105E3A0">
      <w:pPr>
        <w:spacing w:line="520" w:lineRule="exact"/>
        <w:ind w:firstLine="480" w:firstLineChars="200"/>
        <w:jc w:val="both"/>
        <w:rPr>
          <w:rFonts w:ascii="仿宋" w:hAnsi="仿宋" w:eastAsia="仿宋"/>
          <w:sz w:val="24"/>
          <w:szCs w:val="32"/>
          <w:highlight w:val="none"/>
        </w:rPr>
      </w:pPr>
      <w:r>
        <w:rPr>
          <w:rFonts w:hint="eastAsia" w:ascii="仿宋" w:hAnsi="仿宋" w:eastAsia="仿宋"/>
          <w:sz w:val="24"/>
          <w:szCs w:val="32"/>
          <w:highlight w:val="none"/>
        </w:rPr>
        <w:t>根据公司管理制度，本次评估项目的采购相关事宜由中国纺织财务部负责，中选服务机构与福田公司直接签订采购协议。</w:t>
      </w:r>
    </w:p>
    <w:p w14:paraId="75FB6C5D">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三、评估范围</w:t>
      </w:r>
    </w:p>
    <w:p w14:paraId="471786AA">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（一）评估对象</w:t>
      </w:r>
    </w:p>
    <w:p w14:paraId="0249C951">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1.</w:t>
      </w:r>
      <w:r>
        <w:rPr>
          <w:rFonts w:hint="eastAsia" w:ascii="仿宋" w:hAnsi="仿宋" w:eastAsia="仿宋"/>
          <w:sz w:val="24"/>
          <w:szCs w:val="32"/>
          <w:highlight w:val="none"/>
          <w:lang w:eastAsia="zh-CN"/>
        </w:rPr>
        <w:t>A</w:t>
      </w:r>
      <w:r>
        <w:rPr>
          <w:rFonts w:hint="eastAsia" w:ascii="仿宋" w:hAnsi="仿宋" w:eastAsia="仿宋"/>
          <w:sz w:val="24"/>
          <w:szCs w:val="32"/>
          <w:highlight w:val="none"/>
        </w:rPr>
        <w:t xml:space="preserve"> 公司</w:t>
      </w:r>
    </w:p>
    <w:p w14:paraId="5144F34B">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2.</w:t>
      </w:r>
      <w:r>
        <w:rPr>
          <w:rFonts w:hint="eastAsia" w:ascii="仿宋" w:hAnsi="仿宋" w:eastAsia="仿宋"/>
          <w:sz w:val="24"/>
          <w:szCs w:val="32"/>
          <w:highlight w:val="none"/>
          <w:lang w:eastAsia="zh-CN"/>
        </w:rPr>
        <w:t>B</w:t>
      </w:r>
      <w:r>
        <w:rPr>
          <w:rFonts w:hint="eastAsia" w:ascii="仿宋" w:hAnsi="仿宋" w:eastAsia="仿宋"/>
          <w:sz w:val="24"/>
          <w:szCs w:val="32"/>
          <w:highlight w:val="none"/>
        </w:rPr>
        <w:t xml:space="preserve"> 公司</w:t>
      </w:r>
    </w:p>
    <w:p w14:paraId="7A824513">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（二）评估具体内容</w:t>
      </w:r>
    </w:p>
    <w:p w14:paraId="3140FE17">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第一阶段：对两家公司的无形资产土地、建筑物、机械设备、长期待摊费用及其他长期资产进行价值评估，出具评估结果；</w:t>
      </w:r>
    </w:p>
    <w:p w14:paraId="4DDBCCCB">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第二阶段：对两家公司的全部股权价值全部评估，出具评估报告。</w:t>
      </w:r>
    </w:p>
    <w:p w14:paraId="683D7C12">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（三）评估对象基础信息</w:t>
      </w:r>
    </w:p>
    <w:tbl>
      <w:tblPr>
        <w:tblStyle w:val="11"/>
        <w:tblW w:w="0" w:type="auto"/>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3"/>
        <w:gridCol w:w="6591"/>
      </w:tblGrid>
      <w:tr w14:paraId="6AD6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1758" w:type="dxa"/>
            <w:shd w:val="clear" w:color="auto" w:fill="auto"/>
            <w:vAlign w:val="center"/>
          </w:tcPr>
          <w:p w14:paraId="3B209E6F">
            <w:pPr>
              <w:spacing w:line="360" w:lineRule="atLeast"/>
              <w:jc w:val="center"/>
              <w:rPr>
                <w:b/>
                <w:bCs/>
                <w:color w:val="1F2329"/>
                <w:sz w:val="24"/>
                <w:szCs w:val="24"/>
                <w:highlight w:val="none"/>
              </w:rPr>
            </w:pPr>
            <w:r>
              <w:rPr>
                <w:rFonts w:ascii="宋体" w:hAnsi="宋体" w:eastAsia="宋体" w:cs="宋体"/>
                <w:b/>
                <w:bCs/>
                <w:color w:val="1F2329"/>
                <w:sz w:val="24"/>
                <w:szCs w:val="24"/>
                <w:highlight w:val="none"/>
                <w:lang w:bidi="ar"/>
              </w:rPr>
              <w:t>工厂名称</w:t>
            </w:r>
          </w:p>
        </w:tc>
        <w:tc>
          <w:tcPr>
            <w:tcW w:w="6546" w:type="dxa"/>
            <w:shd w:val="clear" w:color="auto" w:fill="auto"/>
            <w:vAlign w:val="center"/>
          </w:tcPr>
          <w:p w14:paraId="524BE075">
            <w:pPr>
              <w:spacing w:line="360" w:lineRule="atLeast"/>
              <w:jc w:val="center"/>
              <w:rPr>
                <w:b/>
                <w:bCs/>
                <w:color w:val="1F2329"/>
                <w:sz w:val="24"/>
                <w:szCs w:val="24"/>
                <w:highlight w:val="none"/>
              </w:rPr>
            </w:pPr>
            <w:r>
              <w:rPr>
                <w:rFonts w:ascii="宋体" w:hAnsi="宋体" w:eastAsia="宋体" w:cs="宋体"/>
                <w:b/>
                <w:bCs/>
                <w:color w:val="1F2329"/>
                <w:sz w:val="24"/>
                <w:szCs w:val="24"/>
                <w:highlight w:val="none"/>
                <w:lang w:bidi="ar"/>
              </w:rPr>
              <w:t>核心基础信息</w:t>
            </w:r>
          </w:p>
        </w:tc>
      </w:tr>
      <w:tr w14:paraId="4AFC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758" w:type="dxa"/>
            <w:shd w:val="clear" w:color="auto" w:fill="auto"/>
            <w:vAlign w:val="center"/>
          </w:tcPr>
          <w:p w14:paraId="4D69104F">
            <w:pPr>
              <w:spacing w:line="360" w:lineRule="atLeast"/>
              <w:ind w:firstLine="720" w:firstLineChars="300"/>
              <w:rPr>
                <w:color w:val="1F2329"/>
                <w:sz w:val="24"/>
                <w:szCs w:val="24"/>
                <w:highlight w:val="none"/>
              </w:rPr>
            </w:pPr>
            <w:r>
              <w:rPr>
                <w:rFonts w:hint="eastAsia" w:ascii="宋体" w:hAnsi="宋体" w:eastAsia="宋体" w:cs="宋体"/>
                <w:color w:val="1F2329"/>
                <w:sz w:val="24"/>
                <w:szCs w:val="24"/>
                <w:highlight w:val="none"/>
                <w:lang w:eastAsia="zh-CN" w:bidi="ar"/>
              </w:rPr>
              <w:t>A</w:t>
            </w:r>
            <w:r>
              <w:rPr>
                <w:rFonts w:hint="eastAsia" w:ascii="仿宋" w:hAnsi="仿宋" w:eastAsia="仿宋"/>
                <w:sz w:val="24"/>
                <w:szCs w:val="32"/>
                <w:highlight w:val="none"/>
              </w:rPr>
              <w:t xml:space="preserve"> </w:t>
            </w:r>
          </w:p>
        </w:tc>
        <w:tc>
          <w:tcPr>
            <w:tcW w:w="6546" w:type="dxa"/>
            <w:shd w:val="clear" w:color="auto" w:fill="auto"/>
            <w:vAlign w:val="center"/>
          </w:tcPr>
          <w:p w14:paraId="11E8AE42">
            <w:pPr>
              <w:spacing w:line="360" w:lineRule="atLeast"/>
              <w:rPr>
                <w:rFonts w:ascii="仿宋" w:hAnsi="仿宋" w:eastAsia="仿宋" w:cs="仿宋"/>
                <w:color w:val="1F2329"/>
                <w:sz w:val="24"/>
                <w:szCs w:val="24"/>
                <w:highlight w:val="none"/>
              </w:rPr>
            </w:pPr>
            <w:r>
              <w:rPr>
                <w:rFonts w:hint="eastAsia" w:ascii="仿宋" w:hAnsi="仿宋" w:eastAsia="仿宋" w:cs="仿宋"/>
                <w:color w:val="1F2329"/>
                <w:sz w:val="24"/>
                <w:szCs w:val="24"/>
                <w:highlight w:val="none"/>
                <w:lang w:bidi="ar"/>
              </w:rPr>
              <w:t>位于越南同奈省</w:t>
            </w:r>
            <w:r>
              <w:rPr>
                <w:rFonts w:ascii="仿宋" w:hAnsi="仿宋" w:eastAsia="仿宋" w:cs="仿宋"/>
                <w:color w:val="1F2329"/>
                <w:sz w:val="24"/>
                <w:szCs w:val="24"/>
                <w:highlight w:val="none"/>
                <w:lang w:bidi="ar"/>
              </w:rPr>
              <w:t>明兴-韩国工业园区（KCN Minh H</w:t>
            </w:r>
            <w:r>
              <w:rPr>
                <w:rFonts w:ascii="Calibri" w:hAnsi="Calibri" w:eastAsia="仿宋" w:cs="Calibri"/>
                <w:color w:val="1F2329"/>
                <w:sz w:val="24"/>
                <w:szCs w:val="24"/>
                <w:highlight w:val="none"/>
                <w:lang w:bidi="ar"/>
              </w:rPr>
              <w:t>ư</w:t>
            </w:r>
            <w:r>
              <w:rPr>
                <w:rFonts w:ascii="仿宋" w:hAnsi="仿宋" w:eastAsia="仿宋" w:cs="仿宋"/>
                <w:color w:val="1F2329"/>
                <w:sz w:val="24"/>
                <w:szCs w:val="24"/>
                <w:highlight w:val="none"/>
                <w:lang w:bidi="ar"/>
              </w:rPr>
              <w:t>ng-H</w:t>
            </w:r>
            <w:r>
              <w:rPr>
                <w:rFonts w:hint="eastAsia" w:ascii="仿宋" w:hAnsi="仿宋" w:eastAsia="仿宋" w:cs="仿宋"/>
                <w:color w:val="1F2329"/>
                <w:sz w:val="24"/>
                <w:szCs w:val="24"/>
                <w:highlight w:val="none"/>
                <w:lang w:bidi="ar"/>
              </w:rPr>
              <w:t>à</w:t>
            </w:r>
            <w:r>
              <w:rPr>
                <w:rFonts w:ascii="仿宋" w:hAnsi="仿宋" w:eastAsia="仿宋" w:cs="仿宋"/>
                <w:color w:val="1F2329"/>
                <w:sz w:val="24"/>
                <w:szCs w:val="24"/>
                <w:highlight w:val="none"/>
                <w:lang w:bidi="ar"/>
              </w:rPr>
              <w:t>n Qu</w:t>
            </w:r>
            <w:r>
              <w:rPr>
                <w:rFonts w:ascii="Calibri" w:hAnsi="Calibri" w:eastAsia="仿宋" w:cs="Calibri"/>
                <w:color w:val="1F2329"/>
                <w:sz w:val="24"/>
                <w:szCs w:val="24"/>
                <w:highlight w:val="none"/>
                <w:lang w:bidi="ar"/>
              </w:rPr>
              <w:t>ố</w:t>
            </w:r>
            <w:r>
              <w:rPr>
                <w:rFonts w:ascii="仿宋" w:hAnsi="仿宋" w:eastAsia="仿宋" w:cs="仿宋"/>
                <w:color w:val="1F2329"/>
                <w:sz w:val="24"/>
                <w:szCs w:val="24"/>
                <w:highlight w:val="none"/>
                <w:lang w:bidi="ar"/>
              </w:rPr>
              <w:t>c），土地面积 112000 平米，</w:t>
            </w:r>
            <w:r>
              <w:rPr>
                <w:rFonts w:hint="eastAsia" w:ascii="仿宋" w:hAnsi="仿宋" w:eastAsia="仿宋" w:cs="仿宋"/>
                <w:color w:val="1F2329"/>
                <w:sz w:val="24"/>
                <w:szCs w:val="24"/>
                <w:highlight w:val="none"/>
                <w:lang w:bidi="ar"/>
              </w:rPr>
              <w:t>当前设备</w:t>
            </w:r>
            <w:r>
              <w:rPr>
                <w:rFonts w:ascii="仿宋" w:hAnsi="仿宋" w:eastAsia="仿宋" w:cs="仿宋"/>
                <w:color w:val="1F2329"/>
                <w:sz w:val="24"/>
                <w:szCs w:val="24"/>
                <w:highlight w:val="none"/>
                <w:lang w:bidi="ar"/>
              </w:rPr>
              <w:t>月产能 200 万磅，</w:t>
            </w:r>
            <w:r>
              <w:rPr>
                <w:rFonts w:hint="eastAsia" w:ascii="仿宋" w:hAnsi="仿宋" w:eastAsia="仿宋" w:cs="仿宋"/>
                <w:color w:val="1F2329"/>
                <w:sz w:val="24"/>
                <w:szCs w:val="24"/>
                <w:highlight w:val="none"/>
                <w:lang w:bidi="ar"/>
              </w:rPr>
              <w:t>日</w:t>
            </w:r>
            <w:r>
              <w:rPr>
                <w:rFonts w:ascii="仿宋" w:hAnsi="仿宋" w:eastAsia="仿宋" w:cs="仿宋"/>
                <w:color w:val="1F2329"/>
                <w:sz w:val="24"/>
                <w:szCs w:val="24"/>
                <w:highlight w:val="none"/>
                <w:lang w:bidi="ar"/>
              </w:rPr>
              <w:t>水</w:t>
            </w:r>
            <w:r>
              <w:rPr>
                <w:rFonts w:hint="eastAsia" w:ascii="仿宋" w:hAnsi="仿宋" w:eastAsia="仿宋" w:cs="仿宋"/>
                <w:color w:val="1F2329"/>
                <w:sz w:val="24"/>
                <w:szCs w:val="24"/>
                <w:highlight w:val="none"/>
                <w:lang w:bidi="ar"/>
              </w:rPr>
              <w:t>处理能力上限</w:t>
            </w:r>
            <w:r>
              <w:rPr>
                <w:rFonts w:ascii="仿宋" w:hAnsi="仿宋" w:eastAsia="仿宋" w:cs="仿宋"/>
                <w:color w:val="1F2329"/>
                <w:sz w:val="24"/>
                <w:szCs w:val="24"/>
                <w:highlight w:val="none"/>
                <w:lang w:bidi="ar"/>
              </w:rPr>
              <w:t>量 5000 吨</w:t>
            </w:r>
            <w:r>
              <w:rPr>
                <w:rFonts w:hint="eastAsia" w:ascii="仿宋" w:hAnsi="仿宋" w:eastAsia="仿宋" w:cs="仿宋"/>
                <w:color w:val="1F2329"/>
                <w:sz w:val="24"/>
                <w:szCs w:val="24"/>
                <w:highlight w:val="none"/>
                <w:lang w:bidi="ar"/>
              </w:rPr>
              <w:t>。</w:t>
            </w:r>
          </w:p>
        </w:tc>
      </w:tr>
      <w:tr w14:paraId="6725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1758" w:type="dxa"/>
            <w:shd w:val="clear" w:color="auto" w:fill="auto"/>
            <w:vAlign w:val="center"/>
          </w:tcPr>
          <w:p w14:paraId="1D8189FD">
            <w:pPr>
              <w:spacing w:line="360" w:lineRule="atLeast"/>
              <w:ind w:firstLine="720" w:firstLineChars="300"/>
              <w:rPr>
                <w:rFonts w:hint="eastAsia" w:eastAsia="宋体"/>
                <w:color w:val="1F2329"/>
                <w:sz w:val="24"/>
                <w:szCs w:val="24"/>
                <w:highlight w:val="none"/>
                <w:lang w:eastAsia="zh-CN"/>
              </w:rPr>
            </w:pPr>
            <w:r>
              <w:rPr>
                <w:rFonts w:hint="eastAsia" w:ascii="宋体" w:hAnsi="宋体" w:eastAsia="宋体" w:cs="宋体"/>
                <w:color w:val="1F2329"/>
                <w:sz w:val="24"/>
                <w:szCs w:val="24"/>
                <w:highlight w:val="none"/>
                <w:lang w:eastAsia="zh-CN" w:bidi="ar"/>
              </w:rPr>
              <w:t>B</w:t>
            </w:r>
          </w:p>
        </w:tc>
        <w:tc>
          <w:tcPr>
            <w:tcW w:w="6546" w:type="dxa"/>
            <w:shd w:val="clear" w:color="auto" w:fill="auto"/>
            <w:vAlign w:val="center"/>
          </w:tcPr>
          <w:p w14:paraId="50518829">
            <w:pPr>
              <w:spacing w:line="360" w:lineRule="atLeast"/>
              <w:rPr>
                <w:rFonts w:ascii="仿宋" w:hAnsi="仿宋" w:eastAsia="仿宋" w:cs="仿宋"/>
                <w:color w:val="1F2329"/>
                <w:sz w:val="24"/>
                <w:szCs w:val="24"/>
                <w:highlight w:val="none"/>
              </w:rPr>
            </w:pPr>
            <w:r>
              <w:rPr>
                <w:rFonts w:hint="eastAsia" w:ascii="仿宋" w:hAnsi="仿宋" w:eastAsia="仿宋" w:cs="仿宋"/>
                <w:color w:val="1F2329"/>
                <w:sz w:val="24"/>
                <w:szCs w:val="24"/>
                <w:highlight w:val="none"/>
                <w:lang w:bidi="ar"/>
              </w:rPr>
              <w:t>位于越南广南省三岐市谭唐工业园区，</w:t>
            </w:r>
            <w:r>
              <w:rPr>
                <w:rFonts w:ascii="仿宋" w:hAnsi="仿宋" w:eastAsia="仿宋" w:cs="仿宋"/>
                <w:color w:val="1F2329"/>
                <w:sz w:val="24"/>
                <w:szCs w:val="24"/>
                <w:highlight w:val="none"/>
                <w:lang w:bidi="ar"/>
              </w:rPr>
              <w:t>土地面积 338200 平米，</w:t>
            </w:r>
            <w:r>
              <w:rPr>
                <w:rFonts w:hint="eastAsia" w:ascii="仿宋" w:hAnsi="仿宋" w:eastAsia="仿宋" w:cs="仿宋"/>
                <w:color w:val="1F2329"/>
                <w:sz w:val="24"/>
                <w:szCs w:val="24"/>
                <w:highlight w:val="none"/>
                <w:lang w:bidi="ar"/>
              </w:rPr>
              <w:t>当前设备</w:t>
            </w:r>
            <w:r>
              <w:rPr>
                <w:rFonts w:ascii="仿宋" w:hAnsi="仿宋" w:eastAsia="仿宋" w:cs="仿宋"/>
                <w:color w:val="1F2329"/>
                <w:sz w:val="24"/>
                <w:szCs w:val="24"/>
                <w:highlight w:val="none"/>
                <w:lang w:bidi="ar"/>
              </w:rPr>
              <w:t xml:space="preserve">月产能 200 万磅，日处理水量 </w:t>
            </w:r>
            <w:r>
              <w:rPr>
                <w:rFonts w:hint="eastAsia" w:ascii="仿宋" w:hAnsi="仿宋" w:eastAsia="仿宋" w:cs="仿宋"/>
                <w:color w:val="1F2329"/>
                <w:sz w:val="24"/>
                <w:szCs w:val="24"/>
                <w:highlight w:val="none"/>
                <w:lang w:bidi="ar"/>
              </w:rPr>
              <w:t>上限</w:t>
            </w:r>
            <w:r>
              <w:rPr>
                <w:rFonts w:ascii="仿宋" w:hAnsi="仿宋" w:eastAsia="仿宋" w:cs="仿宋"/>
                <w:color w:val="1F2329"/>
                <w:sz w:val="24"/>
                <w:szCs w:val="24"/>
                <w:highlight w:val="none"/>
                <w:lang w:bidi="ar"/>
              </w:rPr>
              <w:t>22000 吨</w:t>
            </w:r>
            <w:r>
              <w:rPr>
                <w:rFonts w:hint="eastAsia" w:ascii="仿宋" w:hAnsi="仿宋" w:eastAsia="仿宋" w:cs="仿宋"/>
                <w:color w:val="1F2329"/>
                <w:sz w:val="24"/>
                <w:szCs w:val="24"/>
                <w:highlight w:val="none"/>
                <w:lang w:bidi="ar"/>
              </w:rPr>
              <w:t>。</w:t>
            </w:r>
          </w:p>
        </w:tc>
      </w:tr>
    </w:tbl>
    <w:p w14:paraId="07EA8BD0">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具体资产负债表、损益表数据分别见本采购文件补充材料</w:t>
      </w:r>
      <w:r>
        <w:rPr>
          <w:rFonts w:ascii="仿宋" w:hAnsi="仿宋" w:eastAsia="仿宋"/>
          <w:sz w:val="24"/>
          <w:szCs w:val="32"/>
          <w:highlight w:val="none"/>
        </w:rPr>
        <w:t>1及补充材料2。</w:t>
      </w:r>
    </w:p>
    <w:p w14:paraId="7812C13C">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四、服务时间</w:t>
      </w:r>
    </w:p>
    <w:p w14:paraId="1888CD99">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（一）第一阶段</w:t>
      </w:r>
    </w:p>
    <w:p w14:paraId="28AC561F">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资料收齐后</w:t>
      </w:r>
      <w:r>
        <w:rPr>
          <w:rFonts w:ascii="仿宋" w:hAnsi="仿宋" w:eastAsia="仿宋"/>
          <w:sz w:val="24"/>
          <w:szCs w:val="32"/>
          <w:highlight w:val="none"/>
        </w:rPr>
        <w:t>10</w:t>
      </w:r>
      <w:r>
        <w:rPr>
          <w:rFonts w:hint="eastAsia" w:ascii="仿宋" w:hAnsi="仿宋" w:eastAsia="仿宋"/>
          <w:sz w:val="24"/>
          <w:szCs w:val="32"/>
          <w:highlight w:val="none"/>
        </w:rPr>
        <w:t xml:space="preserve">个工作日日内出具两家公司无形资产土地、建筑物、机械设备、长期待摊费用及其他长期资产的评估结果（评估基准日：2025 年 </w:t>
      </w:r>
      <w:r>
        <w:rPr>
          <w:rFonts w:hint="eastAsia" w:ascii="仿宋" w:hAnsi="仿宋" w:eastAsia="仿宋"/>
          <w:sz w:val="24"/>
          <w:szCs w:val="32"/>
          <w:highlight w:val="none"/>
          <w:lang w:val="en-US" w:eastAsia="zh-CN"/>
        </w:rPr>
        <w:t>9</w:t>
      </w:r>
      <w:r>
        <w:rPr>
          <w:rFonts w:hint="eastAsia" w:ascii="仿宋" w:hAnsi="仿宋" w:eastAsia="仿宋"/>
          <w:sz w:val="24"/>
          <w:szCs w:val="32"/>
          <w:highlight w:val="none"/>
        </w:rPr>
        <w:t xml:space="preserve"> 月</w:t>
      </w:r>
      <w:r>
        <w:rPr>
          <w:rFonts w:hint="eastAsia" w:ascii="仿宋" w:hAnsi="仿宋" w:eastAsia="仿宋"/>
          <w:sz w:val="24"/>
          <w:szCs w:val="32"/>
          <w:highlight w:val="none"/>
          <w:lang w:val="en-US" w:eastAsia="zh-CN"/>
        </w:rPr>
        <w:t>30</w:t>
      </w:r>
      <w:r>
        <w:rPr>
          <w:rFonts w:hint="eastAsia" w:ascii="仿宋" w:hAnsi="仿宋" w:eastAsia="仿宋"/>
          <w:sz w:val="24"/>
          <w:szCs w:val="32"/>
          <w:highlight w:val="none"/>
        </w:rPr>
        <w:t xml:space="preserve"> 日</w:t>
      </w:r>
      <w:r>
        <w:rPr>
          <w:rFonts w:hint="eastAsia" w:ascii="仿宋" w:hAnsi="仿宋" w:eastAsia="仿宋"/>
          <w:sz w:val="24"/>
          <w:szCs w:val="32"/>
          <w:highlight w:val="none"/>
          <w:lang w:val="en-US" w:eastAsia="zh-CN"/>
        </w:rPr>
        <w:t>或</w:t>
      </w:r>
      <w:r>
        <w:rPr>
          <w:rFonts w:hint="eastAsia" w:ascii="仿宋" w:hAnsi="仿宋" w:eastAsia="仿宋"/>
          <w:sz w:val="24"/>
          <w:szCs w:val="32"/>
          <w:highlight w:val="none"/>
        </w:rPr>
        <w:t>2025 年 12 月 31 日</w:t>
      </w:r>
      <w:r>
        <w:rPr>
          <w:rFonts w:hint="eastAsia" w:ascii="仿宋" w:hAnsi="仿宋" w:eastAsia="仿宋"/>
          <w:sz w:val="24"/>
          <w:szCs w:val="32"/>
          <w:highlight w:val="none"/>
          <w:lang w:eastAsia="zh-CN"/>
        </w:rPr>
        <w:t>，</w:t>
      </w:r>
      <w:r>
        <w:rPr>
          <w:rFonts w:hint="eastAsia" w:ascii="仿宋" w:hAnsi="仿宋" w:eastAsia="仿宋"/>
          <w:sz w:val="24"/>
          <w:szCs w:val="32"/>
          <w:highlight w:val="none"/>
          <w:lang w:val="en-US" w:eastAsia="zh-CN"/>
        </w:rPr>
        <w:t>以评估机构进场后提供的为准</w:t>
      </w:r>
      <w:r>
        <w:rPr>
          <w:rFonts w:hint="eastAsia" w:ascii="仿宋" w:hAnsi="仿宋" w:eastAsia="仿宋"/>
          <w:sz w:val="24"/>
          <w:szCs w:val="32"/>
          <w:highlight w:val="none"/>
        </w:rPr>
        <w:t>）。</w:t>
      </w:r>
    </w:p>
    <w:p w14:paraId="0B1D2947">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（二）第二阶段</w:t>
      </w:r>
    </w:p>
    <w:p w14:paraId="36252A5B">
      <w:pPr>
        <w:spacing w:line="520" w:lineRule="exact"/>
        <w:ind w:firstLine="480" w:firstLineChars="200"/>
        <w:jc w:val="both"/>
        <w:rPr>
          <w:rFonts w:ascii="仿宋" w:hAnsi="仿宋" w:eastAsia="仿宋"/>
          <w:sz w:val="24"/>
          <w:szCs w:val="32"/>
          <w:highlight w:val="none"/>
        </w:rPr>
      </w:pPr>
      <w:r>
        <w:rPr>
          <w:rFonts w:hint="eastAsia" w:ascii="仿宋" w:hAnsi="仿宋" w:eastAsia="仿宋"/>
          <w:sz w:val="24"/>
          <w:szCs w:val="32"/>
          <w:highlight w:val="none"/>
        </w:rPr>
        <w:t>待评估基准日确定后，服务机构需于资料收齐后</w:t>
      </w:r>
      <w:r>
        <w:rPr>
          <w:rFonts w:ascii="仿宋" w:hAnsi="仿宋" w:eastAsia="仿宋"/>
          <w:sz w:val="24"/>
          <w:szCs w:val="32"/>
          <w:highlight w:val="none"/>
        </w:rPr>
        <w:t>15</w:t>
      </w:r>
      <w:r>
        <w:rPr>
          <w:rFonts w:hint="eastAsia" w:ascii="仿宋" w:hAnsi="仿宋" w:eastAsia="仿宋"/>
          <w:sz w:val="24"/>
          <w:szCs w:val="32"/>
          <w:highlight w:val="none"/>
        </w:rPr>
        <w:t>个工作日内出具两家公司股权价值评估报告（如有调整，将与服务机构提前协商）。</w:t>
      </w:r>
    </w:p>
    <w:p w14:paraId="3D85B7B3">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五、评估工作基本要求</w:t>
      </w:r>
    </w:p>
    <w:p w14:paraId="0AC241ED">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1.</w:t>
      </w:r>
      <w:r>
        <w:rPr>
          <w:rFonts w:hint="eastAsia" w:ascii="仿宋" w:hAnsi="仿宋" w:eastAsia="仿宋"/>
          <w:sz w:val="24"/>
          <w:szCs w:val="32"/>
          <w:highlight w:val="none"/>
        </w:rPr>
        <w:t>服务机构需严格履行保密义务，对评估过程中获取的两家公司商业信息、财务数据等核心资料严格保密。</w:t>
      </w:r>
    </w:p>
    <w:p w14:paraId="00896E41">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2.评估机构需根据投资项目整体工作计划及时间节点要求，</w:t>
      </w:r>
      <w:r>
        <w:rPr>
          <w:rFonts w:hint="eastAsia" w:ascii="仿宋" w:hAnsi="仿宋" w:eastAsia="仿宋"/>
          <w:sz w:val="24"/>
          <w:szCs w:val="32"/>
          <w:highlight w:val="none"/>
        </w:rPr>
        <w:t>分阶段</w:t>
      </w:r>
      <w:r>
        <w:rPr>
          <w:rFonts w:ascii="仿宋" w:hAnsi="仿宋" w:eastAsia="仿宋"/>
          <w:sz w:val="24"/>
          <w:szCs w:val="32"/>
          <w:highlight w:val="none"/>
        </w:rPr>
        <w:t>开展评估工作</w:t>
      </w:r>
      <w:r>
        <w:rPr>
          <w:rFonts w:hint="eastAsia" w:ascii="仿宋" w:hAnsi="仿宋" w:eastAsia="仿宋"/>
          <w:sz w:val="24"/>
          <w:szCs w:val="32"/>
          <w:highlight w:val="none"/>
        </w:rPr>
        <w:t>:第一阶段按规定基准日出具公司长期资产评估结果，第二阶段按确定基准日</w:t>
      </w:r>
      <w:r>
        <w:rPr>
          <w:rFonts w:ascii="仿宋" w:hAnsi="仿宋" w:eastAsia="仿宋"/>
          <w:sz w:val="24"/>
          <w:szCs w:val="32"/>
          <w:highlight w:val="none"/>
        </w:rPr>
        <w:t>出具</w:t>
      </w:r>
      <w:r>
        <w:rPr>
          <w:rFonts w:hint="eastAsia" w:ascii="仿宋" w:hAnsi="仿宋" w:eastAsia="仿宋"/>
          <w:sz w:val="24"/>
          <w:szCs w:val="32"/>
          <w:highlight w:val="none"/>
        </w:rPr>
        <w:t>公司股权价值</w:t>
      </w:r>
      <w:r>
        <w:rPr>
          <w:rFonts w:ascii="仿宋" w:hAnsi="仿宋" w:eastAsia="仿宋"/>
          <w:sz w:val="24"/>
          <w:szCs w:val="32"/>
          <w:highlight w:val="none"/>
        </w:rPr>
        <w:t>评估报告。</w:t>
      </w:r>
    </w:p>
    <w:p w14:paraId="45F5EE61">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3.评估机构需保证人员配备合理充分，</w:t>
      </w:r>
      <w:r>
        <w:rPr>
          <w:rFonts w:hint="eastAsia" w:ascii="仿宋" w:hAnsi="仿宋" w:eastAsia="仿宋"/>
          <w:sz w:val="24"/>
          <w:szCs w:val="32"/>
          <w:highlight w:val="none"/>
        </w:rPr>
        <w:t>针对两家公司的行业特性、资产规模及评估阶段需求配备专业团队，</w:t>
      </w:r>
      <w:r>
        <w:rPr>
          <w:rFonts w:ascii="仿宋" w:hAnsi="仿宋" w:eastAsia="仿宋"/>
          <w:sz w:val="24"/>
          <w:szCs w:val="32"/>
          <w:highlight w:val="none"/>
        </w:rPr>
        <w:t>采用的评估方法和假设应保持合理一致。</w:t>
      </w:r>
    </w:p>
    <w:p w14:paraId="78FD69F6">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4.评估机构需提前准备好</w:t>
      </w:r>
      <w:r>
        <w:rPr>
          <w:rFonts w:hint="eastAsia" w:ascii="仿宋" w:hAnsi="仿宋" w:eastAsia="仿宋"/>
          <w:sz w:val="24"/>
          <w:szCs w:val="32"/>
          <w:highlight w:val="none"/>
        </w:rPr>
        <w:t>分阶段</w:t>
      </w:r>
      <w:r>
        <w:rPr>
          <w:rFonts w:ascii="仿宋" w:hAnsi="仿宋" w:eastAsia="仿宋"/>
          <w:sz w:val="24"/>
          <w:szCs w:val="32"/>
          <w:highlight w:val="none"/>
        </w:rPr>
        <w:t>资料清单与填报表格，在被通知</w:t>
      </w:r>
      <w:r>
        <w:rPr>
          <w:rFonts w:hint="eastAsia" w:ascii="仿宋" w:hAnsi="仿宋" w:eastAsia="仿宋"/>
          <w:sz w:val="24"/>
          <w:szCs w:val="32"/>
          <w:highlight w:val="none"/>
        </w:rPr>
        <w:t>中选</w:t>
      </w:r>
      <w:r>
        <w:rPr>
          <w:rFonts w:ascii="仿宋" w:hAnsi="仿宋" w:eastAsia="仿宋"/>
          <w:sz w:val="24"/>
          <w:szCs w:val="32"/>
          <w:highlight w:val="none"/>
        </w:rPr>
        <w:t>后请及时发给</w:t>
      </w:r>
      <w:r>
        <w:rPr>
          <w:rFonts w:hint="eastAsia" w:ascii="仿宋" w:hAnsi="仿宋" w:eastAsia="仿宋"/>
          <w:sz w:val="24"/>
          <w:szCs w:val="32"/>
          <w:highlight w:val="none"/>
        </w:rPr>
        <w:t>委托人</w:t>
      </w:r>
      <w:r>
        <w:rPr>
          <w:rFonts w:ascii="仿宋" w:hAnsi="仿宋" w:eastAsia="仿宋"/>
          <w:sz w:val="24"/>
          <w:szCs w:val="32"/>
          <w:highlight w:val="none"/>
        </w:rPr>
        <w:t>做相应准备工作，如有需要请提供必要的讲解或培训。</w:t>
      </w:r>
    </w:p>
    <w:p w14:paraId="3F9BDBF6">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5.评估机构需根据国资委要求及其他相关要求确定资产评估工作方案，包括但不限于</w:t>
      </w:r>
      <w:r>
        <w:rPr>
          <w:rFonts w:hint="eastAsia" w:ascii="仿宋" w:hAnsi="仿宋" w:eastAsia="仿宋"/>
          <w:sz w:val="24"/>
          <w:szCs w:val="32"/>
          <w:highlight w:val="none"/>
        </w:rPr>
        <w:t>两阶段</w:t>
      </w:r>
      <w:r>
        <w:rPr>
          <w:rFonts w:ascii="仿宋" w:hAnsi="仿宋" w:eastAsia="仿宋"/>
          <w:sz w:val="24"/>
          <w:szCs w:val="32"/>
          <w:highlight w:val="none"/>
        </w:rPr>
        <w:t>项目时间安排、对专项审计及报告的要求、资产评估报告架构、币种、评估方法等内容。</w:t>
      </w:r>
    </w:p>
    <w:p w14:paraId="7826A92C">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6.</w:t>
      </w:r>
      <w:r>
        <w:rPr>
          <w:rFonts w:hint="eastAsia" w:ascii="仿宋" w:hAnsi="仿宋" w:eastAsia="仿宋"/>
          <w:sz w:val="24"/>
          <w:szCs w:val="32"/>
          <w:highlight w:val="none"/>
        </w:rPr>
        <w:t xml:space="preserve">第一阶段评估基准日为2025 年 </w:t>
      </w:r>
      <w:r>
        <w:rPr>
          <w:rFonts w:hint="eastAsia" w:ascii="仿宋" w:hAnsi="仿宋" w:eastAsia="仿宋"/>
          <w:sz w:val="24"/>
          <w:szCs w:val="32"/>
          <w:highlight w:val="none"/>
          <w:lang w:val="en-US" w:eastAsia="zh-CN"/>
        </w:rPr>
        <w:t>9</w:t>
      </w:r>
      <w:r>
        <w:rPr>
          <w:rFonts w:hint="eastAsia" w:ascii="仿宋" w:hAnsi="仿宋" w:eastAsia="仿宋"/>
          <w:sz w:val="24"/>
          <w:szCs w:val="32"/>
          <w:highlight w:val="none"/>
        </w:rPr>
        <w:t xml:space="preserve"> 月</w:t>
      </w:r>
      <w:r>
        <w:rPr>
          <w:rFonts w:hint="eastAsia" w:ascii="仿宋" w:hAnsi="仿宋" w:eastAsia="仿宋"/>
          <w:sz w:val="24"/>
          <w:szCs w:val="32"/>
          <w:highlight w:val="none"/>
          <w:lang w:val="en-US" w:eastAsia="zh-CN"/>
        </w:rPr>
        <w:t>30</w:t>
      </w:r>
      <w:r>
        <w:rPr>
          <w:rFonts w:hint="eastAsia" w:ascii="仿宋" w:hAnsi="仿宋" w:eastAsia="仿宋"/>
          <w:sz w:val="24"/>
          <w:szCs w:val="32"/>
          <w:highlight w:val="none"/>
        </w:rPr>
        <w:t xml:space="preserve"> 日</w:t>
      </w:r>
      <w:r>
        <w:rPr>
          <w:rFonts w:hint="eastAsia" w:ascii="仿宋" w:hAnsi="仿宋" w:eastAsia="仿宋"/>
          <w:sz w:val="24"/>
          <w:szCs w:val="32"/>
          <w:highlight w:val="none"/>
          <w:lang w:val="en-US" w:eastAsia="zh-CN"/>
        </w:rPr>
        <w:t>或</w:t>
      </w:r>
      <w:r>
        <w:rPr>
          <w:rFonts w:hint="eastAsia" w:ascii="仿宋" w:hAnsi="仿宋" w:eastAsia="仿宋"/>
          <w:sz w:val="24"/>
          <w:szCs w:val="32"/>
          <w:highlight w:val="none"/>
        </w:rPr>
        <w:t>2025 年 12 月 31 日；第二阶段</w:t>
      </w:r>
      <w:r>
        <w:rPr>
          <w:rFonts w:ascii="仿宋" w:hAnsi="仿宋" w:eastAsia="仿宋"/>
          <w:sz w:val="24"/>
          <w:szCs w:val="32"/>
          <w:highlight w:val="none"/>
        </w:rPr>
        <w:t>评估基准日将视具体投资方案而定。</w:t>
      </w:r>
    </w:p>
    <w:p w14:paraId="41DD5C43">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7.评估工作启动后，评估机构需每周向</w:t>
      </w:r>
      <w:r>
        <w:rPr>
          <w:rFonts w:hint="eastAsia" w:ascii="仿宋" w:hAnsi="仿宋" w:eastAsia="仿宋"/>
          <w:sz w:val="24"/>
          <w:szCs w:val="32"/>
          <w:highlight w:val="none"/>
        </w:rPr>
        <w:t>委托方</w:t>
      </w:r>
      <w:r>
        <w:rPr>
          <w:rFonts w:ascii="仿宋" w:hAnsi="仿宋" w:eastAsia="仿宋"/>
          <w:sz w:val="24"/>
          <w:szCs w:val="32"/>
          <w:highlight w:val="none"/>
        </w:rPr>
        <w:t>书面报告本周工作进度和下周工作计划，严格控制</w:t>
      </w:r>
      <w:r>
        <w:rPr>
          <w:rFonts w:hint="eastAsia" w:ascii="仿宋" w:hAnsi="仿宋" w:eastAsia="仿宋"/>
          <w:sz w:val="24"/>
          <w:szCs w:val="32"/>
          <w:highlight w:val="none"/>
        </w:rPr>
        <w:t>两阶段</w:t>
      </w:r>
      <w:r>
        <w:rPr>
          <w:rFonts w:ascii="仿宋" w:hAnsi="仿宋" w:eastAsia="仿宋"/>
          <w:sz w:val="24"/>
          <w:szCs w:val="32"/>
          <w:highlight w:val="none"/>
        </w:rPr>
        <w:t>时间进度，</w:t>
      </w:r>
      <w:r>
        <w:rPr>
          <w:rFonts w:hint="eastAsia" w:ascii="仿宋" w:hAnsi="仿宋" w:eastAsia="仿宋"/>
          <w:sz w:val="24"/>
          <w:szCs w:val="32"/>
          <w:highlight w:val="none"/>
        </w:rPr>
        <w:t>确保按要求出具评估结果及</w:t>
      </w:r>
      <w:r>
        <w:rPr>
          <w:rFonts w:ascii="仿宋" w:hAnsi="仿宋" w:eastAsia="仿宋"/>
          <w:sz w:val="24"/>
          <w:szCs w:val="32"/>
          <w:highlight w:val="none"/>
        </w:rPr>
        <w:t>评估报告，</w:t>
      </w:r>
      <w:r>
        <w:rPr>
          <w:rFonts w:hint="eastAsia" w:ascii="仿宋" w:hAnsi="仿宋" w:eastAsia="仿宋"/>
          <w:sz w:val="24"/>
          <w:szCs w:val="32"/>
          <w:highlight w:val="none"/>
        </w:rPr>
        <w:t>并确保报告质量</w:t>
      </w:r>
      <w:r>
        <w:rPr>
          <w:rFonts w:ascii="仿宋" w:hAnsi="仿宋" w:eastAsia="仿宋"/>
          <w:sz w:val="24"/>
          <w:szCs w:val="32"/>
          <w:highlight w:val="none"/>
        </w:rPr>
        <w:t>。</w:t>
      </w:r>
    </w:p>
    <w:p w14:paraId="137D0522">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8.评估机构需负责解答委托方、律师、会计师、财务顾问等就</w:t>
      </w:r>
      <w:r>
        <w:rPr>
          <w:rFonts w:hint="eastAsia" w:ascii="仿宋" w:hAnsi="仿宋" w:eastAsia="仿宋"/>
          <w:sz w:val="24"/>
          <w:szCs w:val="32"/>
          <w:highlight w:val="none"/>
        </w:rPr>
        <w:t>两阶段</w:t>
      </w:r>
      <w:r>
        <w:rPr>
          <w:rFonts w:ascii="仿宋" w:hAnsi="仿宋" w:eastAsia="仿宋"/>
          <w:sz w:val="24"/>
          <w:szCs w:val="32"/>
          <w:highlight w:val="none"/>
        </w:rPr>
        <w:t>资产评估方法、标准、评估过程及依据、结果等提出的各项问题。</w:t>
      </w:r>
    </w:p>
    <w:p w14:paraId="3E667509">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9.其他相关服务。</w:t>
      </w:r>
    </w:p>
    <w:p w14:paraId="54B42793">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六、服务机构资格条件</w:t>
      </w:r>
    </w:p>
    <w:p w14:paraId="5F78F9FD">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（一）在中国境内注册的具有独立法人资格的公司或其分支机构；</w:t>
      </w:r>
    </w:p>
    <w:p w14:paraId="15253E0F">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（二）营业执照、评估服务机构执业证书等资质证件合法有效；</w:t>
      </w:r>
    </w:p>
    <w:p w14:paraId="41C4E01E">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（三）属于中粮集团评估机构备选库内的机构；</w:t>
      </w:r>
    </w:p>
    <w:p w14:paraId="41D9EACA">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（四）担任本项目总负责人及现场负责人须具有注册资产评估师资格；</w:t>
      </w:r>
    </w:p>
    <w:p w14:paraId="503761E7">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（五）具备</w:t>
      </w:r>
      <w:r>
        <w:rPr>
          <w:rFonts w:hint="eastAsia" w:ascii="仿宋" w:hAnsi="仿宋" w:eastAsia="仿宋"/>
          <w:sz w:val="24"/>
          <w:szCs w:val="32"/>
          <w:highlight w:val="none"/>
          <w:lang w:val="en-US" w:eastAsia="zh-CN"/>
        </w:rPr>
        <w:t>海外</w:t>
      </w:r>
      <w:r>
        <w:rPr>
          <w:rFonts w:hint="eastAsia" w:ascii="仿宋" w:hAnsi="仿宋" w:eastAsia="仿宋"/>
          <w:sz w:val="24"/>
          <w:szCs w:val="32"/>
          <w:highlight w:val="none"/>
        </w:rPr>
        <w:t>投资项目评估服务经验（需提供近三年相关案例证明）。</w:t>
      </w:r>
    </w:p>
    <w:p w14:paraId="2839FEAB">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七、参选要求</w:t>
      </w:r>
    </w:p>
    <w:p w14:paraId="304F6EBF">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1.</w:t>
      </w:r>
      <w:r>
        <w:rPr>
          <w:rFonts w:hint="eastAsia" w:ascii="仿宋" w:hAnsi="仿宋" w:eastAsia="仿宋"/>
          <w:sz w:val="24"/>
          <w:szCs w:val="32"/>
          <w:highlight w:val="none"/>
        </w:rPr>
        <w:t>服务</w:t>
      </w:r>
      <w:r>
        <w:rPr>
          <w:rFonts w:ascii="仿宋" w:hAnsi="仿宋" w:eastAsia="仿宋"/>
          <w:sz w:val="24"/>
          <w:szCs w:val="32"/>
          <w:highlight w:val="none"/>
        </w:rPr>
        <w:t>机构需对采购文件的相关内容进行保密。</w:t>
      </w:r>
    </w:p>
    <w:p w14:paraId="36506888">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2.本次</w:t>
      </w:r>
      <w:r>
        <w:rPr>
          <w:rFonts w:hint="eastAsia" w:ascii="仿宋" w:hAnsi="仿宋" w:eastAsia="仿宋"/>
          <w:sz w:val="24"/>
          <w:szCs w:val="32"/>
          <w:highlight w:val="none"/>
        </w:rPr>
        <w:t>项目报价</w:t>
      </w:r>
      <w:r>
        <w:rPr>
          <w:rFonts w:ascii="仿宋" w:hAnsi="仿宋" w:eastAsia="仿宋"/>
          <w:sz w:val="24"/>
          <w:szCs w:val="32"/>
          <w:highlight w:val="none"/>
        </w:rPr>
        <w:t>包含食宿、交通、增值税费等全部费用。</w:t>
      </w:r>
    </w:p>
    <w:p w14:paraId="5EA7F925">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3.本次</w:t>
      </w:r>
      <w:r>
        <w:rPr>
          <w:rFonts w:hint="eastAsia" w:ascii="仿宋" w:hAnsi="仿宋" w:eastAsia="仿宋"/>
          <w:sz w:val="24"/>
          <w:szCs w:val="32"/>
          <w:highlight w:val="none"/>
        </w:rPr>
        <w:t>项目</w:t>
      </w:r>
      <w:r>
        <w:rPr>
          <w:rFonts w:ascii="仿宋" w:hAnsi="仿宋" w:eastAsia="仿宋"/>
          <w:sz w:val="24"/>
          <w:szCs w:val="32"/>
          <w:highlight w:val="none"/>
        </w:rPr>
        <w:t>需保证由</w:t>
      </w:r>
      <w:r>
        <w:rPr>
          <w:rFonts w:hint="eastAsia" w:ascii="仿宋" w:hAnsi="仿宋" w:eastAsia="仿宋"/>
          <w:sz w:val="24"/>
          <w:szCs w:val="32"/>
          <w:highlight w:val="none"/>
        </w:rPr>
        <w:t>项目总</w:t>
      </w:r>
      <w:r>
        <w:rPr>
          <w:rFonts w:ascii="仿宋" w:hAnsi="仿宋" w:eastAsia="仿宋"/>
          <w:sz w:val="24"/>
          <w:szCs w:val="32"/>
          <w:highlight w:val="none"/>
        </w:rPr>
        <w:t>负责</w:t>
      </w:r>
      <w:r>
        <w:rPr>
          <w:rFonts w:hint="eastAsia" w:ascii="仿宋" w:hAnsi="仿宋" w:eastAsia="仿宋"/>
          <w:sz w:val="24"/>
          <w:szCs w:val="32"/>
          <w:highlight w:val="none"/>
        </w:rPr>
        <w:t>人负责</w:t>
      </w:r>
      <w:r>
        <w:rPr>
          <w:rFonts w:ascii="仿宋" w:hAnsi="仿宋" w:eastAsia="仿宋"/>
          <w:sz w:val="24"/>
          <w:szCs w:val="32"/>
          <w:highlight w:val="none"/>
        </w:rPr>
        <w:t>总体沟通协调，由项目</w:t>
      </w:r>
      <w:r>
        <w:rPr>
          <w:rFonts w:hint="eastAsia" w:ascii="仿宋" w:hAnsi="仿宋" w:eastAsia="仿宋"/>
          <w:sz w:val="24"/>
          <w:szCs w:val="32"/>
          <w:highlight w:val="none"/>
        </w:rPr>
        <w:t>现场</w:t>
      </w:r>
      <w:r>
        <w:rPr>
          <w:rFonts w:ascii="仿宋" w:hAnsi="仿宋" w:eastAsia="仿宋"/>
          <w:sz w:val="24"/>
          <w:szCs w:val="32"/>
          <w:highlight w:val="none"/>
        </w:rPr>
        <w:t>负责人负责具体实施</w:t>
      </w:r>
      <w:r>
        <w:rPr>
          <w:rFonts w:hint="eastAsia" w:ascii="仿宋" w:hAnsi="仿宋" w:eastAsia="仿宋"/>
          <w:sz w:val="24"/>
          <w:szCs w:val="32"/>
          <w:highlight w:val="none"/>
        </w:rPr>
        <w:t>，团队核心成员需具备境外（含越南）固定资产及股权评估经验</w:t>
      </w:r>
      <w:r>
        <w:rPr>
          <w:rFonts w:ascii="仿宋" w:hAnsi="仿宋" w:eastAsia="仿宋"/>
          <w:sz w:val="24"/>
          <w:szCs w:val="32"/>
          <w:highlight w:val="none"/>
        </w:rPr>
        <w:t>。</w:t>
      </w:r>
    </w:p>
    <w:p w14:paraId="23FD3E6B">
      <w:pPr>
        <w:spacing w:line="520" w:lineRule="exact"/>
        <w:ind w:firstLine="480" w:firstLineChars="200"/>
        <w:rPr>
          <w:rFonts w:ascii="仿宋" w:hAnsi="仿宋" w:eastAsia="仿宋"/>
          <w:sz w:val="24"/>
          <w:szCs w:val="32"/>
          <w:highlight w:val="none"/>
        </w:rPr>
      </w:pPr>
      <w:r>
        <w:rPr>
          <w:rFonts w:ascii="仿宋" w:hAnsi="仿宋" w:eastAsia="仿宋"/>
          <w:sz w:val="24"/>
          <w:szCs w:val="32"/>
          <w:highlight w:val="none"/>
        </w:rPr>
        <w:t>4.其他未尽事宜，将另行协商。</w:t>
      </w:r>
    </w:p>
    <w:p w14:paraId="5DE71AF9">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八、材料递交截止时间</w:t>
      </w:r>
    </w:p>
    <w:p w14:paraId="296B2AF7">
      <w:pPr>
        <w:spacing w:line="520" w:lineRule="exact"/>
        <w:ind w:firstLine="482" w:firstLineChars="200"/>
        <w:rPr>
          <w:rFonts w:ascii="仿宋" w:hAnsi="仿宋" w:eastAsia="仿宋"/>
          <w:sz w:val="24"/>
          <w:szCs w:val="32"/>
          <w:highlight w:val="none"/>
        </w:rPr>
      </w:pPr>
      <w:r>
        <w:rPr>
          <w:rFonts w:hint="eastAsia" w:ascii="仿宋" w:hAnsi="仿宋" w:eastAsia="仿宋"/>
          <w:b/>
          <w:sz w:val="24"/>
          <w:szCs w:val="32"/>
          <w:highlight w:val="none"/>
          <w:lang w:val="en-US" w:eastAsia="zh-CN"/>
        </w:rPr>
        <w:t>2026</w:t>
      </w:r>
      <w:r>
        <w:rPr>
          <w:rFonts w:hint="eastAsia" w:ascii="仿宋" w:hAnsi="仿宋" w:eastAsia="仿宋"/>
          <w:b/>
          <w:sz w:val="24"/>
          <w:szCs w:val="32"/>
          <w:highlight w:val="none"/>
        </w:rPr>
        <w:t>年</w:t>
      </w:r>
      <w:r>
        <w:rPr>
          <w:rFonts w:hint="eastAsia" w:ascii="仿宋" w:hAnsi="仿宋" w:eastAsia="仿宋"/>
          <w:b/>
          <w:sz w:val="24"/>
          <w:szCs w:val="32"/>
          <w:highlight w:val="none"/>
          <w:lang w:val="en-US" w:eastAsia="zh-CN"/>
        </w:rPr>
        <w:t>1</w:t>
      </w:r>
      <w:r>
        <w:rPr>
          <w:rFonts w:hint="eastAsia" w:ascii="仿宋" w:hAnsi="仿宋" w:eastAsia="仿宋"/>
          <w:b/>
          <w:sz w:val="24"/>
          <w:szCs w:val="32"/>
          <w:highlight w:val="none"/>
        </w:rPr>
        <w:t>月</w:t>
      </w:r>
      <w:r>
        <w:rPr>
          <w:rFonts w:hint="eastAsia" w:ascii="仿宋" w:hAnsi="仿宋" w:eastAsia="仿宋"/>
          <w:b/>
          <w:sz w:val="24"/>
          <w:szCs w:val="32"/>
          <w:highlight w:val="none"/>
          <w:lang w:val="en-US" w:eastAsia="zh-CN"/>
        </w:rPr>
        <w:t>27</w:t>
      </w:r>
      <w:r>
        <w:rPr>
          <w:rFonts w:hint="eastAsia" w:ascii="仿宋" w:hAnsi="仿宋" w:eastAsia="仿宋"/>
          <w:b/>
          <w:sz w:val="24"/>
          <w:szCs w:val="32"/>
          <w:highlight w:val="none"/>
        </w:rPr>
        <w:t>日</w:t>
      </w:r>
      <w:r>
        <w:rPr>
          <w:rFonts w:hint="eastAsia" w:ascii="仿宋" w:hAnsi="仿宋" w:eastAsia="仿宋"/>
          <w:b/>
          <w:sz w:val="24"/>
          <w:szCs w:val="32"/>
          <w:highlight w:val="none"/>
          <w:lang w:val="en-US" w:eastAsia="zh-CN"/>
        </w:rPr>
        <w:t>中午12：00</w:t>
      </w:r>
      <w:r>
        <w:rPr>
          <w:rFonts w:hint="eastAsia" w:ascii="仿宋" w:hAnsi="仿宋" w:eastAsia="仿宋"/>
          <w:sz w:val="24"/>
          <w:szCs w:val="32"/>
          <w:highlight w:val="none"/>
        </w:rPr>
        <w:t>，未能在上述时间前提供响应文件的，视同放弃本次</w:t>
      </w:r>
      <w:r>
        <w:rPr>
          <w:rFonts w:hint="eastAsia" w:ascii="仿宋" w:hAnsi="仿宋" w:eastAsia="仿宋"/>
          <w:sz w:val="24"/>
          <w:szCs w:val="32"/>
          <w:highlight w:val="none"/>
          <w:lang w:eastAsia="zh-CN"/>
        </w:rPr>
        <w:t>询比</w:t>
      </w:r>
      <w:r>
        <w:rPr>
          <w:rFonts w:hint="eastAsia" w:ascii="仿宋" w:hAnsi="仿宋" w:eastAsia="仿宋"/>
          <w:sz w:val="24"/>
          <w:szCs w:val="32"/>
          <w:highlight w:val="none"/>
        </w:rPr>
        <w:t>。</w:t>
      </w:r>
    </w:p>
    <w:p w14:paraId="57A72727">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九、</w:t>
      </w:r>
      <w:r>
        <w:rPr>
          <w:rFonts w:hint="eastAsia" w:ascii="黑体" w:hAnsi="黑体" w:eastAsia="黑体"/>
          <w:sz w:val="24"/>
          <w:szCs w:val="32"/>
          <w:highlight w:val="none"/>
          <w:lang w:eastAsia="zh-CN"/>
        </w:rPr>
        <w:t>询比</w:t>
      </w:r>
      <w:r>
        <w:rPr>
          <w:rFonts w:hint="eastAsia" w:ascii="黑体" w:hAnsi="黑体" w:eastAsia="黑体"/>
          <w:sz w:val="24"/>
          <w:szCs w:val="32"/>
          <w:highlight w:val="none"/>
        </w:rPr>
        <w:t>流程</w:t>
      </w:r>
    </w:p>
    <w:p w14:paraId="3DB94F0B">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中国纺织项目评审小组组织服务机构开展</w:t>
      </w:r>
      <w:r>
        <w:rPr>
          <w:rFonts w:hint="eastAsia" w:ascii="仿宋" w:hAnsi="仿宋" w:eastAsia="仿宋"/>
          <w:sz w:val="24"/>
          <w:szCs w:val="32"/>
          <w:highlight w:val="none"/>
          <w:lang w:eastAsia="zh-CN"/>
        </w:rPr>
        <w:t>询比</w:t>
      </w:r>
      <w:r>
        <w:rPr>
          <w:rFonts w:hint="eastAsia" w:ascii="仿宋" w:hAnsi="仿宋" w:eastAsia="仿宋"/>
          <w:sz w:val="24"/>
          <w:szCs w:val="32"/>
          <w:highlight w:val="none"/>
        </w:rPr>
        <w:t>，根据各服务机构响应文件的商务部分、技术部分、最终报价进行综合评分。</w:t>
      </w:r>
    </w:p>
    <w:p w14:paraId="24AF723F">
      <w:pPr>
        <w:spacing w:line="520" w:lineRule="exact"/>
        <w:ind w:firstLine="480" w:firstLineChars="200"/>
        <w:rPr>
          <w:rFonts w:ascii="黑体" w:hAnsi="黑体" w:eastAsia="黑体"/>
          <w:sz w:val="24"/>
          <w:szCs w:val="32"/>
          <w:highlight w:val="none"/>
        </w:rPr>
      </w:pPr>
      <w:r>
        <w:rPr>
          <w:rFonts w:hint="eastAsia" w:ascii="黑体" w:hAnsi="黑体" w:eastAsia="黑体"/>
          <w:sz w:val="24"/>
          <w:szCs w:val="32"/>
          <w:highlight w:val="none"/>
        </w:rPr>
        <w:t>十、采购人信息</w:t>
      </w:r>
    </w:p>
    <w:p w14:paraId="6602A7BF">
      <w:pPr>
        <w:spacing w:line="520" w:lineRule="exact"/>
        <w:ind w:firstLine="480" w:firstLineChars="200"/>
        <w:rPr>
          <w:rFonts w:ascii="仿宋" w:hAnsi="仿宋" w:eastAsia="仿宋"/>
          <w:sz w:val="24"/>
          <w:szCs w:val="32"/>
          <w:highlight w:val="none"/>
        </w:rPr>
      </w:pPr>
      <w:r>
        <w:rPr>
          <w:rFonts w:hint="eastAsia" w:ascii="仿宋" w:hAnsi="仿宋" w:eastAsia="仿宋"/>
          <w:sz w:val="24"/>
          <w:szCs w:val="32"/>
          <w:highlight w:val="none"/>
        </w:rPr>
        <w:t>采购人：中国中纺集团有限公司</w:t>
      </w:r>
    </w:p>
    <w:p w14:paraId="6FBA16E2">
      <w:pPr>
        <w:spacing w:line="520" w:lineRule="exact"/>
        <w:ind w:firstLine="480" w:firstLineChars="200"/>
        <w:rPr>
          <w:rFonts w:hint="eastAsia" w:ascii="仿宋" w:hAnsi="仿宋" w:eastAsia="仿宋"/>
          <w:sz w:val="24"/>
          <w:szCs w:val="32"/>
          <w:highlight w:val="none"/>
          <w:lang w:val="en-US" w:eastAsia="zh-CN"/>
        </w:rPr>
      </w:pPr>
      <w:r>
        <w:rPr>
          <w:rFonts w:hint="eastAsia" w:ascii="仿宋" w:hAnsi="仿宋" w:eastAsia="仿宋"/>
          <w:sz w:val="24"/>
          <w:szCs w:val="32"/>
          <w:highlight w:val="none"/>
        </w:rPr>
        <w:t>联系人：中国纺织财务部</w:t>
      </w:r>
      <w:r>
        <w:rPr>
          <w:rFonts w:hint="eastAsia" w:ascii="仿宋" w:hAnsi="仿宋" w:eastAsia="仿宋"/>
          <w:sz w:val="24"/>
          <w:szCs w:val="32"/>
          <w:highlight w:val="none"/>
          <w:lang w:val="en-US" w:eastAsia="zh-CN"/>
        </w:rPr>
        <w:t xml:space="preserve"> 鲍澜</w:t>
      </w:r>
    </w:p>
    <w:p w14:paraId="543D3B54">
      <w:pPr>
        <w:spacing w:line="520" w:lineRule="exact"/>
        <w:ind w:firstLine="480" w:firstLineChars="200"/>
        <w:rPr>
          <w:rFonts w:hint="default" w:ascii="仿宋" w:hAnsi="仿宋" w:eastAsia="仿宋"/>
          <w:sz w:val="24"/>
          <w:szCs w:val="32"/>
          <w:highlight w:val="none"/>
          <w:lang w:val="en-US" w:eastAsia="zh-CN"/>
        </w:rPr>
      </w:pPr>
      <w:r>
        <w:rPr>
          <w:rFonts w:hint="eastAsia" w:ascii="仿宋" w:hAnsi="仿宋" w:eastAsia="仿宋"/>
          <w:sz w:val="24"/>
          <w:szCs w:val="32"/>
          <w:highlight w:val="none"/>
        </w:rPr>
        <w:t xml:space="preserve">电话： </w:t>
      </w:r>
      <w:r>
        <w:rPr>
          <w:rFonts w:hint="eastAsia" w:ascii="仿宋" w:hAnsi="仿宋" w:eastAsia="仿宋"/>
          <w:sz w:val="24"/>
          <w:szCs w:val="32"/>
          <w:highlight w:val="none"/>
          <w:lang w:val="en-US" w:eastAsia="zh-CN"/>
        </w:rPr>
        <w:t>13661230342</w:t>
      </w:r>
    </w:p>
    <w:p w14:paraId="08189C52">
      <w:pPr>
        <w:spacing w:line="520" w:lineRule="exact"/>
        <w:ind w:firstLine="480" w:firstLineChars="200"/>
        <w:rPr>
          <w:rFonts w:hint="default" w:ascii="仿宋" w:hAnsi="仿宋" w:eastAsia="仿宋"/>
          <w:sz w:val="24"/>
          <w:szCs w:val="32"/>
          <w:highlight w:val="none"/>
          <w:lang w:val="en-US" w:eastAsia="zh-CN"/>
        </w:rPr>
      </w:pPr>
      <w:r>
        <w:rPr>
          <w:rFonts w:hint="eastAsia" w:ascii="仿宋" w:hAnsi="仿宋" w:eastAsia="仿宋"/>
          <w:sz w:val="24"/>
          <w:szCs w:val="32"/>
          <w:highlight w:val="none"/>
        </w:rPr>
        <w:t xml:space="preserve">邮箱： </w:t>
      </w:r>
      <w:r>
        <w:rPr>
          <w:rFonts w:hint="eastAsia" w:ascii="仿宋" w:hAnsi="仿宋" w:eastAsia="仿宋"/>
          <w:sz w:val="24"/>
          <w:szCs w:val="32"/>
          <w:highlight w:val="none"/>
          <w:lang w:val="en-US" w:eastAsia="zh-CN"/>
        </w:rPr>
        <w:t>baolan@chinatex.com</w:t>
      </w:r>
    </w:p>
    <w:p w14:paraId="39CACB30">
      <w:pPr>
        <w:spacing w:line="520" w:lineRule="exact"/>
        <w:ind w:left="280" w:leftChars="100" w:firstLine="240" w:firstLineChars="100"/>
        <w:jc w:val="both"/>
        <w:rPr>
          <w:rFonts w:ascii="仿宋" w:hAnsi="仿宋" w:eastAsia="仿宋"/>
          <w:sz w:val="24"/>
          <w:szCs w:val="32"/>
          <w:highlight w:val="none"/>
        </w:rPr>
      </w:pPr>
      <w:r>
        <w:rPr>
          <w:rFonts w:hint="eastAsia" w:ascii="黑体" w:hAnsi="黑体" w:eastAsia="黑体"/>
          <w:sz w:val="24"/>
          <w:szCs w:val="32"/>
          <w:highlight w:val="none"/>
        </w:rPr>
        <w:t>十一、信访举报电话及举报范围</w:t>
      </w:r>
    </w:p>
    <w:p w14:paraId="56E7A237">
      <w:pPr>
        <w:spacing w:line="520" w:lineRule="exact"/>
        <w:ind w:firstLine="480" w:firstLineChars="200"/>
        <w:jc w:val="both"/>
        <w:rPr>
          <w:rFonts w:ascii="仿宋" w:hAnsi="仿宋" w:eastAsia="仿宋"/>
          <w:sz w:val="24"/>
          <w:szCs w:val="32"/>
          <w:highlight w:val="none"/>
        </w:rPr>
      </w:pPr>
      <w:r>
        <w:rPr>
          <w:rFonts w:ascii="仿宋" w:hAnsi="仿宋" w:eastAsia="仿宋"/>
          <w:sz w:val="24"/>
          <w:szCs w:val="32"/>
          <w:highlight w:val="none"/>
        </w:rPr>
        <w:t>1.信访举报电话：010-65285080（工作日9:00-17:30）。</w:t>
      </w:r>
    </w:p>
    <w:p w14:paraId="087B1501">
      <w:pPr>
        <w:spacing w:line="520" w:lineRule="exact"/>
        <w:ind w:firstLine="480" w:firstLineChars="200"/>
        <w:jc w:val="both"/>
        <w:rPr>
          <w:rFonts w:ascii="仿宋" w:hAnsi="仿宋" w:eastAsia="仿宋"/>
          <w:sz w:val="24"/>
          <w:szCs w:val="32"/>
          <w:highlight w:val="none"/>
        </w:rPr>
      </w:pPr>
      <w:r>
        <w:rPr>
          <w:rFonts w:ascii="仿宋" w:hAnsi="仿宋" w:eastAsia="仿宋"/>
          <w:sz w:val="24"/>
          <w:szCs w:val="32"/>
          <w:highlight w:val="none"/>
        </w:rPr>
        <w:t>2.举报范围：招投标活动过程中涉嫌贪污贿赂、滥用职权、玩忽职守、权力寻租、利益输送、徇私舞弊以及浪费国家资财等问题的检举控告。</w:t>
      </w:r>
    </w:p>
    <w:p w14:paraId="547C6D56">
      <w:pPr>
        <w:rPr>
          <w:rFonts w:ascii="仿宋" w:hAnsi="仿宋" w:eastAsia="仿宋"/>
          <w:sz w:val="24"/>
          <w:szCs w:val="32"/>
          <w:highlight w:val="none"/>
        </w:rPr>
      </w:pPr>
      <w:r>
        <w:rPr>
          <w:rFonts w:ascii="仿宋" w:hAnsi="仿宋" w:eastAsia="仿宋"/>
          <w:sz w:val="24"/>
          <w:szCs w:val="32"/>
          <w:highlight w:val="none"/>
        </w:rPr>
        <w:br w:type="page"/>
      </w:r>
    </w:p>
    <w:p w14:paraId="73F7D506">
      <w:pPr>
        <w:pStyle w:val="9"/>
        <w:rPr>
          <w:highlight w:val="none"/>
        </w:rPr>
      </w:pPr>
      <w:bookmarkStart w:id="2" w:name="_Toc86914068"/>
      <w:bookmarkStart w:id="3" w:name="_Toc150371605"/>
      <w:r>
        <w:rPr>
          <w:rFonts w:hint="eastAsia"/>
          <w:highlight w:val="none"/>
        </w:rPr>
        <w:t>第二部分服务须知</w:t>
      </w:r>
      <w:bookmarkEnd w:id="2"/>
      <w:bookmarkEnd w:id="3"/>
    </w:p>
    <w:p w14:paraId="08B97E82">
      <w:pPr>
        <w:spacing w:line="360" w:lineRule="auto"/>
        <w:outlineLvl w:val="1"/>
        <w:rPr>
          <w:rFonts w:ascii="仿宋_GB2312" w:hAnsi="微软雅黑"/>
          <w:b/>
          <w:bCs/>
          <w:sz w:val="24"/>
          <w:szCs w:val="21"/>
          <w:highlight w:val="none"/>
        </w:rPr>
      </w:pPr>
      <w:r>
        <w:rPr>
          <w:rFonts w:hint="eastAsia" w:ascii="仿宋_GB2312" w:hAnsi="微软雅黑"/>
          <w:b/>
          <w:bCs/>
          <w:sz w:val="24"/>
          <w:szCs w:val="21"/>
          <w:highlight w:val="none"/>
        </w:rPr>
        <w:t>1</w:t>
      </w:r>
      <w:r>
        <w:rPr>
          <w:rFonts w:ascii="仿宋_GB2312" w:hAnsi="微软雅黑"/>
          <w:b/>
          <w:bCs/>
          <w:sz w:val="24"/>
          <w:szCs w:val="21"/>
          <w:highlight w:val="none"/>
        </w:rPr>
        <w:t>.</w:t>
      </w:r>
      <w:r>
        <w:rPr>
          <w:rFonts w:hint="eastAsia" w:ascii="仿宋_GB2312" w:hAnsi="微软雅黑"/>
          <w:b/>
          <w:bCs/>
          <w:sz w:val="24"/>
          <w:szCs w:val="21"/>
          <w:highlight w:val="none"/>
        </w:rPr>
        <w:t>项目概要</w:t>
      </w:r>
    </w:p>
    <w:tbl>
      <w:tblPr>
        <w:tblStyle w:val="1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7544"/>
      </w:tblGrid>
      <w:tr w14:paraId="3359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2FA15014">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26BA37F5">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采购人</w:t>
            </w:r>
          </w:p>
        </w:tc>
        <w:tc>
          <w:tcPr>
            <w:tcW w:w="7544" w:type="dxa"/>
            <w:tcBorders>
              <w:top w:val="single" w:color="auto" w:sz="4" w:space="0"/>
              <w:left w:val="single" w:color="auto" w:sz="4" w:space="0"/>
              <w:bottom w:val="single" w:color="auto" w:sz="4" w:space="0"/>
              <w:right w:val="single" w:color="auto" w:sz="4" w:space="0"/>
            </w:tcBorders>
            <w:vAlign w:val="center"/>
          </w:tcPr>
          <w:p w14:paraId="0E6D585E">
            <w:pPr>
              <w:spacing w:line="300" w:lineRule="exact"/>
              <w:rPr>
                <w:rFonts w:hint="default" w:ascii="仿宋_GB2312" w:hAnsi="微软雅黑" w:eastAsia="仿宋_GB2312"/>
                <w:sz w:val="21"/>
                <w:szCs w:val="21"/>
                <w:highlight w:val="none"/>
                <w:lang w:val="en-US" w:eastAsia="zh-CN"/>
              </w:rPr>
            </w:pPr>
            <w:r>
              <w:rPr>
                <w:rFonts w:hint="eastAsia" w:ascii="仿宋_GB2312" w:hAnsi="微软雅黑"/>
                <w:sz w:val="21"/>
                <w:szCs w:val="21"/>
                <w:highlight w:val="none"/>
              </w:rPr>
              <w:t>联系人：</w:t>
            </w:r>
            <w:r>
              <w:rPr>
                <w:rFonts w:hint="eastAsia" w:ascii="仿宋_GB2312" w:hAnsi="微软雅黑"/>
                <w:sz w:val="21"/>
                <w:szCs w:val="21"/>
                <w:highlight w:val="none"/>
                <w:lang w:val="en-US" w:eastAsia="zh-CN"/>
              </w:rPr>
              <w:t xml:space="preserve">鲍澜 </w:t>
            </w:r>
            <w:r>
              <w:rPr>
                <w:rFonts w:hint="eastAsia" w:ascii="仿宋_GB2312" w:hAnsi="微软雅黑"/>
                <w:sz w:val="21"/>
                <w:szCs w:val="21"/>
                <w:highlight w:val="none"/>
              </w:rPr>
              <w:t>电话：</w:t>
            </w:r>
            <w:r>
              <w:rPr>
                <w:rFonts w:hint="eastAsia" w:ascii="仿宋_GB2312" w:hAnsi="微软雅黑"/>
                <w:sz w:val="21"/>
                <w:szCs w:val="21"/>
                <w:highlight w:val="none"/>
                <w:lang w:val="en-US" w:eastAsia="zh-CN"/>
              </w:rPr>
              <w:t>13661230342</w:t>
            </w:r>
          </w:p>
          <w:p w14:paraId="3D6089D8">
            <w:pPr>
              <w:spacing w:line="300" w:lineRule="exact"/>
              <w:rPr>
                <w:rFonts w:hint="default" w:ascii="仿宋_GB2312" w:hAnsi="微软雅黑" w:eastAsia="仿宋_GB2312"/>
                <w:sz w:val="21"/>
                <w:szCs w:val="21"/>
                <w:highlight w:val="none"/>
                <w:lang w:val="en-US" w:eastAsia="zh-CN"/>
              </w:rPr>
            </w:pPr>
            <w:r>
              <w:rPr>
                <w:rFonts w:hint="eastAsia" w:ascii="仿宋_GB2312" w:hAnsi="微软雅黑"/>
                <w:sz w:val="21"/>
                <w:szCs w:val="21"/>
                <w:highlight w:val="none"/>
              </w:rPr>
              <w:t>邮箱：</w:t>
            </w:r>
            <w:r>
              <w:rPr>
                <w:rFonts w:hint="eastAsia" w:ascii="仿宋_GB2312" w:hAnsi="微软雅黑"/>
                <w:sz w:val="21"/>
                <w:szCs w:val="21"/>
                <w:highlight w:val="none"/>
                <w:lang w:val="en-US" w:eastAsia="zh-CN"/>
              </w:rPr>
              <w:t>baolan@chinatex.com</w:t>
            </w:r>
          </w:p>
        </w:tc>
      </w:tr>
      <w:tr w14:paraId="4A75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49B6DF76">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14:paraId="5E68C58B">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采购文件获取</w:t>
            </w:r>
          </w:p>
        </w:tc>
        <w:tc>
          <w:tcPr>
            <w:tcW w:w="7544" w:type="dxa"/>
            <w:tcBorders>
              <w:top w:val="single" w:color="auto" w:sz="4" w:space="0"/>
              <w:left w:val="single" w:color="auto" w:sz="4" w:space="0"/>
              <w:bottom w:val="single" w:color="auto" w:sz="4" w:space="0"/>
              <w:right w:val="single" w:color="auto" w:sz="4" w:space="0"/>
            </w:tcBorders>
            <w:vAlign w:val="center"/>
          </w:tcPr>
          <w:p w14:paraId="464E3238">
            <w:pPr>
              <w:spacing w:line="300" w:lineRule="exact"/>
              <w:ind w:firstLine="420" w:firstLineChars="200"/>
              <w:rPr>
                <w:rFonts w:ascii="仿宋_GB2312" w:hAnsi="微软雅黑"/>
                <w:sz w:val="21"/>
                <w:szCs w:val="21"/>
                <w:highlight w:val="none"/>
              </w:rPr>
            </w:pPr>
            <w:r>
              <w:rPr>
                <w:rFonts w:hint="eastAsia" w:ascii="仿宋_GB2312" w:hAnsi="微软雅黑"/>
                <w:sz w:val="21"/>
                <w:szCs w:val="21"/>
                <w:highlight w:val="none"/>
              </w:rPr>
              <w:t>凡有意响应者，请登录“中粮E采供应链采购平台”（https://ecai.cofoc.com）查看。操作流程详见“帮助中心-操作指南”。平台咨询热线：010-21362564；CA办理咨询热线：010-58515511、4009197888。</w:t>
            </w:r>
          </w:p>
        </w:tc>
      </w:tr>
      <w:tr w14:paraId="71B2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07F137CC">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61693EB9">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响应文件有效期</w:t>
            </w:r>
          </w:p>
        </w:tc>
        <w:tc>
          <w:tcPr>
            <w:tcW w:w="7544" w:type="dxa"/>
            <w:tcBorders>
              <w:top w:val="single" w:color="auto" w:sz="4" w:space="0"/>
              <w:left w:val="single" w:color="auto" w:sz="4" w:space="0"/>
              <w:bottom w:val="single" w:color="auto" w:sz="4" w:space="0"/>
              <w:right w:val="single" w:color="auto" w:sz="4" w:space="0"/>
            </w:tcBorders>
            <w:vAlign w:val="center"/>
          </w:tcPr>
          <w:p w14:paraId="550AC1B5">
            <w:pPr>
              <w:spacing w:line="300" w:lineRule="exact"/>
              <w:ind w:firstLine="420" w:firstLineChars="200"/>
              <w:rPr>
                <w:rFonts w:ascii="仿宋_GB2312" w:hAnsi="微软雅黑" w:cs="宋体"/>
                <w:sz w:val="21"/>
                <w:szCs w:val="21"/>
                <w:highlight w:val="none"/>
              </w:rPr>
            </w:pPr>
            <w:r>
              <w:rPr>
                <w:rFonts w:hint="eastAsia" w:ascii="仿宋_GB2312" w:hAnsi="微软雅黑"/>
                <w:sz w:val="21"/>
                <w:szCs w:val="21"/>
                <w:highlight w:val="none"/>
              </w:rPr>
              <w:t>从响应文件递交截止时间起90天内保持有效。</w:t>
            </w:r>
            <w:r>
              <w:rPr>
                <w:rFonts w:hint="eastAsia" w:ascii="仿宋_GB2312" w:hAnsi="微软雅黑"/>
                <w:bCs/>
                <w:sz w:val="21"/>
                <w:szCs w:val="21"/>
                <w:highlight w:val="none"/>
                <w:u w:val="single"/>
              </w:rPr>
              <w:t>响应有效期不足的将导致其被拒绝参加</w:t>
            </w:r>
            <w:r>
              <w:rPr>
                <w:rFonts w:hint="eastAsia" w:ascii="仿宋_GB2312" w:hAnsi="微软雅黑"/>
                <w:bCs/>
                <w:sz w:val="21"/>
                <w:szCs w:val="21"/>
                <w:highlight w:val="none"/>
                <w:u w:val="single"/>
                <w:lang w:eastAsia="zh-CN"/>
              </w:rPr>
              <w:t>询比</w:t>
            </w:r>
            <w:r>
              <w:rPr>
                <w:rFonts w:hint="eastAsia" w:ascii="仿宋_GB2312" w:hAnsi="微软雅黑"/>
                <w:bCs/>
                <w:sz w:val="21"/>
                <w:szCs w:val="21"/>
                <w:highlight w:val="none"/>
                <w:u w:val="single"/>
              </w:rPr>
              <w:t>。</w:t>
            </w:r>
          </w:p>
        </w:tc>
      </w:tr>
      <w:tr w14:paraId="3D4E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689729AE">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14:paraId="080FCEA6">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响应文件构成</w:t>
            </w:r>
          </w:p>
        </w:tc>
        <w:tc>
          <w:tcPr>
            <w:tcW w:w="7544" w:type="dxa"/>
            <w:tcBorders>
              <w:top w:val="single" w:color="auto" w:sz="4" w:space="0"/>
              <w:left w:val="single" w:color="auto" w:sz="4" w:space="0"/>
              <w:bottom w:val="single" w:color="auto" w:sz="4" w:space="0"/>
              <w:right w:val="single" w:color="auto" w:sz="4" w:space="0"/>
            </w:tcBorders>
            <w:vAlign w:val="center"/>
          </w:tcPr>
          <w:p w14:paraId="1707CE19">
            <w:pPr>
              <w:spacing w:line="260" w:lineRule="exact"/>
              <w:ind w:firstLine="420" w:firstLineChars="200"/>
              <w:rPr>
                <w:rFonts w:ascii="仿宋_GB2312" w:hAnsi="微软雅黑"/>
                <w:bCs/>
                <w:sz w:val="21"/>
                <w:szCs w:val="21"/>
                <w:highlight w:val="none"/>
                <w:u w:val="single"/>
              </w:rPr>
            </w:pPr>
            <w:r>
              <w:rPr>
                <w:rFonts w:hint="eastAsia" w:ascii="仿宋_GB2312" w:hAnsi="微软雅黑"/>
                <w:bCs/>
                <w:sz w:val="21"/>
                <w:szCs w:val="21"/>
                <w:highlight w:val="none"/>
                <w:u w:val="single"/>
              </w:rPr>
              <w:t>响应文件由商务、技术、价格三部分组成，具体内容见下方列示。</w:t>
            </w:r>
            <w:r>
              <w:rPr>
                <w:rFonts w:hint="eastAsia" w:ascii="仿宋_GB2312" w:hAnsi="微软雅黑"/>
                <w:b/>
                <w:bCs/>
                <w:sz w:val="21"/>
                <w:szCs w:val="21"/>
                <w:highlight w:val="none"/>
                <w:u w:val="single"/>
              </w:rPr>
              <w:t>如有缺少，将视为</w:t>
            </w:r>
            <w:r>
              <w:rPr>
                <w:rFonts w:hint="eastAsia" w:ascii="仿宋_GB2312" w:hAnsi="微软雅黑"/>
                <w:b/>
                <w:sz w:val="21"/>
                <w:szCs w:val="21"/>
                <w:highlight w:val="none"/>
                <w:u w:val="single"/>
              </w:rPr>
              <w:t>无效响应文件</w:t>
            </w:r>
            <w:r>
              <w:rPr>
                <w:rFonts w:hint="eastAsia" w:ascii="仿宋_GB2312" w:hAnsi="微软雅黑"/>
                <w:sz w:val="21"/>
                <w:szCs w:val="21"/>
                <w:highlight w:val="none"/>
                <w:u w:val="single"/>
              </w:rPr>
              <w:t>。</w:t>
            </w:r>
            <w:r>
              <w:rPr>
                <w:rFonts w:hint="eastAsia" w:ascii="仿宋_GB2312" w:hAnsi="微软雅黑"/>
                <w:bCs/>
                <w:sz w:val="21"/>
                <w:szCs w:val="21"/>
                <w:highlight w:val="none"/>
                <w:u w:val="single"/>
              </w:rPr>
              <w:t>请按以下顺序编写：</w:t>
            </w:r>
          </w:p>
          <w:p w14:paraId="50AFBACB">
            <w:pPr>
              <w:spacing w:line="260" w:lineRule="exact"/>
              <w:ind w:firstLine="420" w:firstLineChars="200"/>
              <w:rPr>
                <w:rFonts w:ascii="仿宋_GB2312" w:hAnsi="微软雅黑"/>
                <w:bCs/>
                <w:sz w:val="21"/>
                <w:szCs w:val="21"/>
                <w:highlight w:val="none"/>
                <w:u w:val="single"/>
              </w:rPr>
            </w:pPr>
          </w:p>
          <w:p w14:paraId="673B6081">
            <w:pPr>
              <w:spacing w:line="260" w:lineRule="exact"/>
              <w:rPr>
                <w:rFonts w:ascii="仿宋_GB2312" w:hAnsi="微软雅黑"/>
                <w:b/>
                <w:bCs/>
                <w:sz w:val="21"/>
                <w:szCs w:val="21"/>
                <w:highlight w:val="none"/>
              </w:rPr>
            </w:pPr>
            <w:r>
              <w:rPr>
                <w:rFonts w:hint="eastAsia" w:ascii="仿宋_GB2312" w:hAnsi="微软雅黑"/>
                <w:b/>
                <w:bCs/>
                <w:sz w:val="21"/>
                <w:szCs w:val="21"/>
                <w:highlight w:val="none"/>
              </w:rPr>
              <w:t>商务部分</w:t>
            </w:r>
          </w:p>
          <w:p w14:paraId="7639E5A9">
            <w:pPr>
              <w:spacing w:line="260" w:lineRule="exact"/>
              <w:rPr>
                <w:rFonts w:ascii="仿宋_GB2312" w:hAnsi="微软雅黑"/>
                <w:sz w:val="21"/>
                <w:szCs w:val="21"/>
                <w:highlight w:val="none"/>
              </w:rPr>
            </w:pPr>
            <w:r>
              <w:rPr>
                <w:rFonts w:hint="eastAsia" w:ascii="仿宋_GB2312" w:hAnsi="微软雅黑"/>
                <w:sz w:val="21"/>
                <w:szCs w:val="21"/>
                <w:highlight w:val="none"/>
              </w:rPr>
              <w:t>一、封皮格式（附件1）</w:t>
            </w:r>
          </w:p>
          <w:p w14:paraId="3A2B73F3">
            <w:pPr>
              <w:spacing w:line="260" w:lineRule="exact"/>
              <w:rPr>
                <w:rFonts w:ascii="仿宋_GB2312" w:hAnsi="微软雅黑"/>
                <w:sz w:val="21"/>
                <w:szCs w:val="21"/>
                <w:highlight w:val="none"/>
              </w:rPr>
            </w:pPr>
            <w:r>
              <w:rPr>
                <w:rFonts w:hint="eastAsia" w:ascii="仿宋_GB2312" w:hAnsi="微软雅黑"/>
                <w:sz w:val="21"/>
                <w:szCs w:val="21"/>
                <w:highlight w:val="none"/>
              </w:rPr>
              <w:t>二、</w:t>
            </w:r>
            <w:r>
              <w:rPr>
                <w:rFonts w:hint="eastAsia" w:ascii="仿宋_GB2312" w:hAnsi="微软雅黑"/>
                <w:sz w:val="21"/>
                <w:szCs w:val="21"/>
                <w:highlight w:val="none"/>
                <w:lang w:eastAsia="zh-CN"/>
              </w:rPr>
              <w:t>询比</w:t>
            </w:r>
            <w:r>
              <w:rPr>
                <w:rFonts w:hint="eastAsia" w:ascii="仿宋_GB2312" w:hAnsi="微软雅黑"/>
                <w:sz w:val="21"/>
                <w:szCs w:val="21"/>
                <w:highlight w:val="none"/>
              </w:rPr>
              <w:t>响应函（附件2）</w:t>
            </w:r>
          </w:p>
          <w:p w14:paraId="05264090">
            <w:pPr>
              <w:spacing w:line="260" w:lineRule="exact"/>
              <w:rPr>
                <w:rFonts w:ascii="仿宋_GB2312" w:hAnsi="微软雅黑"/>
                <w:sz w:val="21"/>
                <w:szCs w:val="21"/>
                <w:highlight w:val="none"/>
              </w:rPr>
            </w:pPr>
            <w:r>
              <w:rPr>
                <w:rFonts w:hint="eastAsia" w:ascii="仿宋_GB2312" w:hAnsi="微软雅黑"/>
                <w:sz w:val="21"/>
                <w:szCs w:val="21"/>
                <w:highlight w:val="none"/>
              </w:rPr>
              <w:t>三、法定代表人授权委托书和身份证明（附件3）</w:t>
            </w:r>
          </w:p>
          <w:p w14:paraId="74AE2610">
            <w:pPr>
              <w:spacing w:line="260" w:lineRule="exact"/>
              <w:rPr>
                <w:rFonts w:ascii="仿宋_GB2312" w:hAnsi="微软雅黑"/>
                <w:sz w:val="21"/>
                <w:szCs w:val="21"/>
                <w:highlight w:val="none"/>
              </w:rPr>
            </w:pPr>
            <w:r>
              <w:rPr>
                <w:rFonts w:hint="eastAsia" w:ascii="仿宋_GB2312" w:hAnsi="微软雅黑"/>
                <w:sz w:val="21"/>
                <w:szCs w:val="21"/>
                <w:highlight w:val="none"/>
              </w:rPr>
              <w:t>四、服务机构基本情况介绍（附件4）</w:t>
            </w:r>
          </w:p>
          <w:p w14:paraId="5E41D53E">
            <w:pPr>
              <w:spacing w:line="260" w:lineRule="exact"/>
              <w:rPr>
                <w:rFonts w:ascii="仿宋_GB2312" w:hAnsi="微软雅黑"/>
                <w:sz w:val="21"/>
                <w:szCs w:val="21"/>
                <w:highlight w:val="none"/>
              </w:rPr>
            </w:pPr>
            <w:r>
              <w:rPr>
                <w:rFonts w:hint="eastAsia" w:ascii="仿宋_GB2312" w:hAnsi="微软雅黑"/>
                <w:sz w:val="21"/>
                <w:szCs w:val="21"/>
                <w:highlight w:val="none"/>
              </w:rPr>
              <w:t>五、服务机构资格证明（附件5）</w:t>
            </w:r>
          </w:p>
          <w:p w14:paraId="666B727F">
            <w:pPr>
              <w:spacing w:line="260" w:lineRule="exact"/>
              <w:rPr>
                <w:rFonts w:ascii="仿宋_GB2312" w:hAnsi="微软雅黑"/>
                <w:sz w:val="21"/>
                <w:szCs w:val="21"/>
                <w:highlight w:val="none"/>
              </w:rPr>
            </w:pPr>
            <w:r>
              <w:rPr>
                <w:rFonts w:hint="eastAsia" w:ascii="仿宋_GB2312" w:hAnsi="微软雅黑"/>
                <w:sz w:val="21"/>
                <w:szCs w:val="21"/>
                <w:highlight w:val="none"/>
              </w:rPr>
              <w:t>六、近三年（202</w:t>
            </w:r>
            <w:r>
              <w:rPr>
                <w:rFonts w:hint="eastAsia" w:ascii="仿宋_GB2312" w:hAnsi="微软雅黑"/>
                <w:sz w:val="21"/>
                <w:szCs w:val="21"/>
                <w:highlight w:val="none"/>
                <w:lang w:val="en-US" w:eastAsia="zh-CN"/>
              </w:rPr>
              <w:t>3</w:t>
            </w:r>
            <w:r>
              <w:rPr>
                <w:rFonts w:hint="eastAsia" w:ascii="仿宋_GB2312" w:hAnsi="微软雅黑"/>
                <w:sz w:val="21"/>
                <w:szCs w:val="21"/>
                <w:highlight w:val="none"/>
              </w:rPr>
              <w:t>.1-202</w:t>
            </w:r>
            <w:r>
              <w:rPr>
                <w:rFonts w:hint="eastAsia" w:ascii="仿宋_GB2312" w:hAnsi="微软雅黑"/>
                <w:sz w:val="21"/>
                <w:szCs w:val="21"/>
                <w:highlight w:val="none"/>
                <w:lang w:val="en-US" w:eastAsia="zh-CN"/>
              </w:rPr>
              <w:t>5</w:t>
            </w:r>
            <w:r>
              <w:rPr>
                <w:rFonts w:hint="eastAsia" w:ascii="仿宋_GB2312" w:hAnsi="微软雅黑"/>
                <w:sz w:val="21"/>
                <w:szCs w:val="21"/>
                <w:highlight w:val="none"/>
              </w:rPr>
              <w:t>.</w:t>
            </w:r>
            <w:r>
              <w:rPr>
                <w:rFonts w:hint="eastAsia" w:ascii="仿宋_GB2312" w:hAnsi="微软雅黑"/>
                <w:sz w:val="21"/>
                <w:szCs w:val="21"/>
                <w:highlight w:val="none"/>
                <w:lang w:val="en-US" w:eastAsia="zh-CN"/>
              </w:rPr>
              <w:t>12</w:t>
            </w:r>
            <w:r>
              <w:rPr>
                <w:rFonts w:hint="eastAsia" w:ascii="仿宋_GB2312" w:hAnsi="微软雅黑"/>
                <w:sz w:val="21"/>
                <w:szCs w:val="21"/>
                <w:highlight w:val="none"/>
              </w:rPr>
              <w:t>）在经营活动中无重大违法记录的书面材料（附件6）</w:t>
            </w:r>
          </w:p>
          <w:p w14:paraId="2F3F6265">
            <w:pPr>
              <w:spacing w:line="260" w:lineRule="exact"/>
              <w:rPr>
                <w:rFonts w:ascii="仿宋_GB2312" w:hAnsi="微软雅黑"/>
                <w:sz w:val="21"/>
                <w:szCs w:val="21"/>
                <w:highlight w:val="none"/>
              </w:rPr>
            </w:pPr>
            <w:r>
              <w:rPr>
                <w:rFonts w:hint="eastAsia" w:ascii="仿宋_GB2312" w:hAnsi="微软雅黑"/>
                <w:sz w:val="21"/>
                <w:szCs w:val="21"/>
                <w:highlight w:val="none"/>
              </w:rPr>
              <w:t>七、近三年（</w:t>
            </w:r>
            <w:r>
              <w:rPr>
                <w:rFonts w:ascii="仿宋_GB2312" w:hAnsi="微软雅黑"/>
                <w:sz w:val="21"/>
                <w:szCs w:val="21"/>
                <w:highlight w:val="none"/>
              </w:rPr>
              <w:t>202</w:t>
            </w:r>
            <w:r>
              <w:rPr>
                <w:rFonts w:hint="eastAsia" w:ascii="仿宋_GB2312" w:hAnsi="微软雅黑"/>
                <w:sz w:val="21"/>
                <w:szCs w:val="21"/>
                <w:highlight w:val="none"/>
                <w:lang w:val="en-US" w:eastAsia="zh-CN"/>
              </w:rPr>
              <w:t>3</w:t>
            </w:r>
            <w:r>
              <w:rPr>
                <w:rFonts w:ascii="仿宋_GB2312" w:hAnsi="微软雅黑"/>
                <w:sz w:val="21"/>
                <w:szCs w:val="21"/>
                <w:highlight w:val="none"/>
              </w:rPr>
              <w:t>.1-20</w:t>
            </w:r>
            <w:r>
              <w:rPr>
                <w:rFonts w:hint="eastAsia" w:ascii="仿宋_GB2312" w:hAnsi="微软雅黑"/>
                <w:sz w:val="21"/>
                <w:szCs w:val="21"/>
                <w:highlight w:val="none"/>
                <w:lang w:val="en-US" w:eastAsia="zh-CN"/>
              </w:rPr>
              <w:t>25</w:t>
            </w:r>
            <w:r>
              <w:rPr>
                <w:rFonts w:ascii="仿宋_GB2312" w:hAnsi="微软雅黑"/>
                <w:sz w:val="21"/>
                <w:szCs w:val="21"/>
                <w:highlight w:val="none"/>
              </w:rPr>
              <w:t>.11）未受过其他处罚的承诺函及证明材料</w:t>
            </w:r>
            <w:r>
              <w:rPr>
                <w:rFonts w:hint="eastAsia" w:ascii="仿宋_GB2312" w:hAnsi="微软雅黑"/>
                <w:sz w:val="21"/>
                <w:szCs w:val="21"/>
                <w:highlight w:val="none"/>
              </w:rPr>
              <w:t>；（附件7）</w:t>
            </w:r>
          </w:p>
          <w:p w14:paraId="5F2C4BFA">
            <w:pPr>
              <w:spacing w:line="260" w:lineRule="exact"/>
              <w:rPr>
                <w:rFonts w:ascii="仿宋_GB2312" w:hAnsi="微软雅黑"/>
                <w:sz w:val="21"/>
                <w:szCs w:val="21"/>
                <w:highlight w:val="none"/>
              </w:rPr>
            </w:pPr>
            <w:r>
              <w:rPr>
                <w:rFonts w:hint="eastAsia" w:ascii="仿宋_GB2312" w:hAnsi="微软雅黑"/>
                <w:sz w:val="21"/>
                <w:szCs w:val="21"/>
                <w:highlight w:val="none"/>
              </w:rPr>
              <w:t>八、反腐败承诺书（附件</w:t>
            </w:r>
            <w:r>
              <w:rPr>
                <w:rFonts w:ascii="仿宋_GB2312" w:hAnsi="微软雅黑"/>
                <w:sz w:val="21"/>
                <w:szCs w:val="21"/>
                <w:highlight w:val="none"/>
              </w:rPr>
              <w:t>8</w:t>
            </w:r>
            <w:r>
              <w:rPr>
                <w:rFonts w:hint="eastAsia" w:ascii="仿宋_GB2312" w:hAnsi="微软雅黑"/>
                <w:sz w:val="21"/>
                <w:szCs w:val="21"/>
                <w:highlight w:val="none"/>
              </w:rPr>
              <w:t>）</w:t>
            </w:r>
          </w:p>
          <w:p w14:paraId="48C9570B">
            <w:pPr>
              <w:spacing w:line="260" w:lineRule="exact"/>
              <w:rPr>
                <w:rFonts w:ascii="仿宋_GB2312" w:hAnsi="微软雅黑"/>
                <w:b/>
                <w:bCs/>
                <w:sz w:val="21"/>
                <w:szCs w:val="21"/>
                <w:highlight w:val="none"/>
              </w:rPr>
            </w:pPr>
            <w:r>
              <w:rPr>
                <w:rFonts w:hint="eastAsia" w:ascii="仿宋_GB2312" w:hAnsi="微软雅黑"/>
                <w:b/>
                <w:bCs/>
                <w:sz w:val="21"/>
                <w:szCs w:val="21"/>
                <w:highlight w:val="none"/>
              </w:rPr>
              <w:t>技术部分</w:t>
            </w:r>
          </w:p>
          <w:p w14:paraId="7781E40F">
            <w:pPr>
              <w:spacing w:line="260" w:lineRule="exact"/>
              <w:rPr>
                <w:rFonts w:ascii="仿宋_GB2312" w:hAnsi="微软雅黑"/>
                <w:sz w:val="21"/>
                <w:szCs w:val="21"/>
                <w:highlight w:val="none"/>
              </w:rPr>
            </w:pPr>
            <w:r>
              <w:rPr>
                <w:rFonts w:hint="eastAsia" w:ascii="仿宋_GB2312" w:hAnsi="微软雅黑"/>
                <w:sz w:val="21"/>
                <w:szCs w:val="21"/>
                <w:highlight w:val="none"/>
              </w:rPr>
              <w:t>九、项目经验（附件</w:t>
            </w:r>
            <w:r>
              <w:rPr>
                <w:rFonts w:ascii="仿宋_GB2312" w:hAnsi="微软雅黑"/>
                <w:sz w:val="21"/>
                <w:szCs w:val="21"/>
                <w:highlight w:val="none"/>
              </w:rPr>
              <w:t>9</w:t>
            </w:r>
            <w:r>
              <w:rPr>
                <w:rFonts w:hint="eastAsia" w:ascii="仿宋_GB2312" w:hAnsi="微软雅黑"/>
                <w:sz w:val="21"/>
                <w:szCs w:val="21"/>
                <w:highlight w:val="none"/>
              </w:rPr>
              <w:t>）</w:t>
            </w:r>
          </w:p>
          <w:p w14:paraId="7661F59E">
            <w:pPr>
              <w:spacing w:line="260" w:lineRule="exact"/>
              <w:ind w:firstLine="420" w:firstLineChars="200"/>
              <w:rPr>
                <w:rFonts w:ascii="仿宋_GB2312" w:hAnsi="微软雅黑"/>
                <w:sz w:val="21"/>
                <w:szCs w:val="21"/>
                <w:highlight w:val="none"/>
              </w:rPr>
            </w:pPr>
            <w:r>
              <w:rPr>
                <w:rFonts w:hint="eastAsia" w:ascii="仿宋_GB2312" w:hAnsi="微软雅黑"/>
                <w:sz w:val="21"/>
                <w:szCs w:val="21"/>
                <w:highlight w:val="none"/>
              </w:rPr>
              <w:t>服务机构需列示近三年（</w:t>
            </w:r>
            <w:r>
              <w:rPr>
                <w:rFonts w:ascii="仿宋_GB2312" w:hAnsi="微软雅黑"/>
                <w:sz w:val="21"/>
                <w:szCs w:val="21"/>
                <w:highlight w:val="none"/>
              </w:rPr>
              <w:t>20</w:t>
            </w:r>
            <w:r>
              <w:rPr>
                <w:rFonts w:hint="eastAsia" w:ascii="仿宋_GB2312" w:hAnsi="微软雅黑"/>
                <w:sz w:val="21"/>
                <w:szCs w:val="21"/>
                <w:highlight w:val="none"/>
                <w:lang w:val="en-US" w:eastAsia="zh-CN"/>
              </w:rPr>
              <w:t>23</w:t>
            </w:r>
            <w:r>
              <w:rPr>
                <w:rFonts w:ascii="仿宋_GB2312" w:hAnsi="微软雅黑"/>
                <w:sz w:val="21"/>
                <w:szCs w:val="21"/>
                <w:highlight w:val="none"/>
              </w:rPr>
              <w:t>.1-202</w:t>
            </w:r>
            <w:r>
              <w:rPr>
                <w:rFonts w:hint="eastAsia" w:ascii="仿宋_GB2312" w:hAnsi="微软雅黑"/>
                <w:sz w:val="21"/>
                <w:szCs w:val="21"/>
                <w:highlight w:val="none"/>
                <w:lang w:val="en-US" w:eastAsia="zh-CN"/>
              </w:rPr>
              <w:t>5</w:t>
            </w:r>
            <w:r>
              <w:rPr>
                <w:rFonts w:ascii="仿宋_GB2312" w:hAnsi="微软雅黑"/>
                <w:sz w:val="21"/>
                <w:szCs w:val="21"/>
                <w:highlight w:val="none"/>
              </w:rPr>
              <w:t>.</w:t>
            </w:r>
            <w:r>
              <w:rPr>
                <w:rFonts w:hint="eastAsia" w:ascii="仿宋_GB2312" w:hAnsi="微软雅黑"/>
                <w:sz w:val="21"/>
                <w:szCs w:val="21"/>
                <w:highlight w:val="none"/>
                <w:lang w:val="en-US" w:eastAsia="zh-CN"/>
              </w:rPr>
              <w:t>12</w:t>
            </w:r>
            <w:r>
              <w:rPr>
                <w:rFonts w:hint="eastAsia" w:ascii="仿宋_GB2312" w:hAnsi="微软雅黑"/>
                <w:sz w:val="21"/>
                <w:szCs w:val="21"/>
                <w:highlight w:val="none"/>
              </w:rPr>
              <w:t>）</w:t>
            </w:r>
            <w:r>
              <w:rPr>
                <w:rFonts w:ascii="仿宋_GB2312" w:hAnsi="微软雅黑"/>
                <w:sz w:val="21"/>
                <w:szCs w:val="21"/>
                <w:highlight w:val="none"/>
              </w:rPr>
              <w:t>承接</w:t>
            </w:r>
            <w:r>
              <w:rPr>
                <w:rFonts w:hint="eastAsia" w:ascii="仿宋_GB2312" w:hAnsi="微软雅黑"/>
                <w:sz w:val="21"/>
                <w:szCs w:val="21"/>
                <w:highlight w:val="none"/>
              </w:rPr>
              <w:t>的</w:t>
            </w:r>
            <w:r>
              <w:rPr>
                <w:rFonts w:ascii="仿宋_GB2312" w:hAnsi="微软雅黑"/>
                <w:sz w:val="21"/>
                <w:szCs w:val="21"/>
                <w:highlight w:val="none"/>
              </w:rPr>
              <w:t>境外类似投资项目的</w:t>
            </w:r>
            <w:r>
              <w:rPr>
                <w:rFonts w:hint="eastAsia" w:ascii="仿宋_GB2312" w:hAnsi="微软雅黑"/>
                <w:sz w:val="21"/>
                <w:szCs w:val="21"/>
                <w:highlight w:val="none"/>
              </w:rPr>
              <w:t>评估案例。</w:t>
            </w:r>
          </w:p>
          <w:p w14:paraId="04960770">
            <w:pPr>
              <w:spacing w:line="260" w:lineRule="exact"/>
              <w:rPr>
                <w:rFonts w:ascii="仿宋_GB2312" w:hAnsi="微软雅黑"/>
                <w:sz w:val="21"/>
                <w:szCs w:val="21"/>
                <w:highlight w:val="none"/>
              </w:rPr>
            </w:pPr>
            <w:r>
              <w:rPr>
                <w:rFonts w:hint="eastAsia" w:ascii="仿宋_GB2312" w:hAnsi="微软雅黑"/>
                <w:sz w:val="21"/>
                <w:szCs w:val="21"/>
                <w:highlight w:val="none"/>
              </w:rPr>
              <w:t>十、项目团队执业胜任能力情况（附件</w:t>
            </w:r>
            <w:r>
              <w:rPr>
                <w:rFonts w:ascii="仿宋_GB2312" w:hAnsi="微软雅黑"/>
                <w:sz w:val="21"/>
                <w:szCs w:val="21"/>
                <w:highlight w:val="none"/>
              </w:rPr>
              <w:t>10</w:t>
            </w:r>
            <w:r>
              <w:rPr>
                <w:rFonts w:hint="eastAsia" w:ascii="仿宋_GB2312" w:hAnsi="微软雅黑"/>
                <w:sz w:val="21"/>
                <w:szCs w:val="21"/>
                <w:highlight w:val="none"/>
              </w:rPr>
              <w:t>）</w:t>
            </w:r>
          </w:p>
          <w:p w14:paraId="739C5329">
            <w:pPr>
              <w:spacing w:line="260" w:lineRule="exact"/>
              <w:ind w:firstLine="420" w:firstLineChars="200"/>
              <w:rPr>
                <w:rFonts w:ascii="仿宋_GB2312" w:hAnsi="微软雅黑"/>
                <w:sz w:val="21"/>
                <w:szCs w:val="21"/>
                <w:highlight w:val="none"/>
              </w:rPr>
            </w:pPr>
            <w:r>
              <w:rPr>
                <w:rFonts w:hint="eastAsia" w:ascii="仿宋_GB2312" w:hAnsi="微软雅黑"/>
                <w:sz w:val="21"/>
                <w:szCs w:val="21"/>
                <w:highlight w:val="none"/>
              </w:rPr>
              <w:t>项目团队情况，项目总负责人、项目现场负责人以及其他人员执业能力、境外评估经验等情况。</w:t>
            </w:r>
          </w:p>
          <w:p w14:paraId="7E981A42">
            <w:pPr>
              <w:spacing w:line="260" w:lineRule="exact"/>
              <w:rPr>
                <w:rFonts w:ascii="仿宋_GB2312" w:hAnsi="微软雅黑"/>
                <w:bCs/>
                <w:sz w:val="21"/>
                <w:szCs w:val="21"/>
                <w:highlight w:val="none"/>
              </w:rPr>
            </w:pPr>
            <w:r>
              <w:rPr>
                <w:rFonts w:hint="eastAsia" w:ascii="仿宋_GB2312" w:hAnsi="微软雅黑"/>
                <w:bCs/>
                <w:sz w:val="21"/>
                <w:szCs w:val="21"/>
                <w:highlight w:val="none"/>
              </w:rPr>
              <w:t>十一、服务方案（附件</w:t>
            </w:r>
            <w:r>
              <w:rPr>
                <w:rFonts w:ascii="仿宋_GB2312" w:hAnsi="微软雅黑"/>
                <w:bCs/>
                <w:sz w:val="21"/>
                <w:szCs w:val="21"/>
                <w:highlight w:val="none"/>
              </w:rPr>
              <w:t>11</w:t>
            </w:r>
            <w:r>
              <w:rPr>
                <w:rFonts w:hint="eastAsia" w:ascii="仿宋_GB2312" w:hAnsi="微软雅黑"/>
                <w:bCs/>
                <w:sz w:val="21"/>
                <w:szCs w:val="21"/>
                <w:highlight w:val="none"/>
              </w:rPr>
              <w:t>）</w:t>
            </w:r>
          </w:p>
          <w:p w14:paraId="2282A800">
            <w:pPr>
              <w:spacing w:line="260" w:lineRule="exact"/>
              <w:ind w:firstLine="420" w:firstLineChars="200"/>
              <w:rPr>
                <w:rFonts w:ascii="仿宋_GB2312" w:hAnsi="微软雅黑"/>
                <w:sz w:val="21"/>
                <w:szCs w:val="21"/>
                <w:highlight w:val="none"/>
              </w:rPr>
            </w:pPr>
            <w:r>
              <w:rPr>
                <w:rFonts w:hint="eastAsia" w:ascii="仿宋_GB2312" w:hAnsi="微软雅黑"/>
                <w:sz w:val="21"/>
                <w:szCs w:val="21"/>
                <w:highlight w:val="none"/>
              </w:rPr>
              <w:t>包括但不限于：详细说明两阶段评估的实施程序、工作方法、时间及人员安排、项目进度的控制和质量的审核等具体措施。</w:t>
            </w:r>
          </w:p>
          <w:p w14:paraId="79421016">
            <w:pPr>
              <w:spacing w:line="260" w:lineRule="exact"/>
              <w:rPr>
                <w:rFonts w:ascii="仿宋_GB2312" w:hAnsi="微软雅黑" w:cs="宋体"/>
                <w:b/>
                <w:bCs/>
                <w:sz w:val="21"/>
                <w:szCs w:val="21"/>
                <w:highlight w:val="none"/>
              </w:rPr>
            </w:pPr>
            <w:r>
              <w:rPr>
                <w:rFonts w:hint="eastAsia" w:ascii="仿宋_GB2312" w:hAnsi="微软雅黑" w:cs="宋体"/>
                <w:b/>
                <w:bCs/>
                <w:sz w:val="21"/>
                <w:szCs w:val="21"/>
                <w:highlight w:val="none"/>
              </w:rPr>
              <w:t>价格部分</w:t>
            </w:r>
          </w:p>
          <w:p w14:paraId="5AD783ED">
            <w:pPr>
              <w:spacing w:line="260" w:lineRule="exact"/>
              <w:rPr>
                <w:rFonts w:ascii="仿宋_GB2312" w:hAnsi="微软雅黑" w:cs="宋体"/>
                <w:b/>
                <w:bCs/>
                <w:sz w:val="21"/>
                <w:szCs w:val="21"/>
                <w:highlight w:val="none"/>
              </w:rPr>
            </w:pPr>
            <w:r>
              <w:rPr>
                <w:rFonts w:hint="eastAsia" w:ascii="仿宋_GB2312" w:hAnsi="微软雅黑" w:cs="宋体"/>
                <w:sz w:val="21"/>
                <w:szCs w:val="21"/>
                <w:highlight w:val="none"/>
              </w:rPr>
              <w:t>十二、报价一览表（附件</w:t>
            </w:r>
            <w:r>
              <w:rPr>
                <w:rFonts w:ascii="仿宋_GB2312" w:hAnsi="微软雅黑" w:cs="宋体"/>
                <w:sz w:val="21"/>
                <w:szCs w:val="21"/>
                <w:highlight w:val="none"/>
              </w:rPr>
              <w:t>12</w:t>
            </w:r>
            <w:r>
              <w:rPr>
                <w:rFonts w:hint="eastAsia" w:ascii="仿宋_GB2312" w:hAnsi="微软雅黑" w:cs="宋体"/>
                <w:sz w:val="21"/>
                <w:szCs w:val="21"/>
                <w:highlight w:val="none"/>
              </w:rPr>
              <w:t>）</w:t>
            </w:r>
          </w:p>
        </w:tc>
      </w:tr>
      <w:tr w14:paraId="1B2C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3AB09A">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5</w:t>
            </w:r>
          </w:p>
        </w:tc>
        <w:tc>
          <w:tcPr>
            <w:tcW w:w="1276" w:type="dxa"/>
            <w:tcBorders>
              <w:top w:val="single" w:color="auto" w:sz="4" w:space="0"/>
              <w:left w:val="single" w:color="auto" w:sz="4" w:space="0"/>
              <w:bottom w:val="single" w:color="auto" w:sz="4" w:space="0"/>
              <w:right w:val="single" w:color="auto" w:sz="4" w:space="0"/>
            </w:tcBorders>
            <w:vAlign w:val="center"/>
          </w:tcPr>
          <w:p w14:paraId="1BC4CB31">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响应文件递交</w:t>
            </w:r>
          </w:p>
        </w:tc>
        <w:tc>
          <w:tcPr>
            <w:tcW w:w="7544" w:type="dxa"/>
            <w:tcBorders>
              <w:top w:val="single" w:color="auto" w:sz="4" w:space="0"/>
              <w:left w:val="single" w:color="auto" w:sz="4" w:space="0"/>
              <w:bottom w:val="single" w:color="auto" w:sz="4" w:space="0"/>
              <w:right w:val="single" w:color="auto" w:sz="4" w:space="0"/>
            </w:tcBorders>
            <w:vAlign w:val="center"/>
          </w:tcPr>
          <w:p w14:paraId="35EAC786">
            <w:pPr>
              <w:spacing w:line="300" w:lineRule="exact"/>
              <w:rPr>
                <w:rFonts w:hint="default" w:ascii="仿宋_GB2312" w:hAnsi="微软雅黑" w:eastAsia="仿宋_GB2312" w:cs="宋体"/>
                <w:sz w:val="21"/>
                <w:szCs w:val="21"/>
                <w:highlight w:val="none"/>
                <w:lang w:val="en-US" w:eastAsia="zh-CN"/>
              </w:rPr>
            </w:pPr>
            <w:r>
              <w:rPr>
                <w:rFonts w:hint="eastAsia" w:ascii="仿宋_GB2312" w:hAnsi="微软雅黑" w:cs="宋体"/>
                <w:sz w:val="21"/>
                <w:szCs w:val="21"/>
                <w:highlight w:val="none"/>
              </w:rPr>
              <w:t>截止时间：</w:t>
            </w:r>
            <w:r>
              <w:rPr>
                <w:rFonts w:hint="eastAsia" w:ascii="仿宋_GB2312" w:hAnsi="微软雅黑" w:cs="宋体"/>
                <w:sz w:val="21"/>
                <w:szCs w:val="21"/>
                <w:highlight w:val="none"/>
                <w:lang w:val="en-US" w:eastAsia="zh-CN"/>
              </w:rPr>
              <w:t>2026</w:t>
            </w:r>
            <w:r>
              <w:rPr>
                <w:rFonts w:hint="eastAsia" w:ascii="仿宋_GB2312" w:hAnsi="微软雅黑" w:cs="宋体"/>
                <w:b/>
                <w:sz w:val="21"/>
                <w:szCs w:val="21"/>
                <w:highlight w:val="none"/>
              </w:rPr>
              <w:t>年</w:t>
            </w:r>
            <w:r>
              <w:rPr>
                <w:rFonts w:hint="eastAsia" w:ascii="仿宋_GB2312" w:hAnsi="仿宋"/>
                <w:b/>
                <w:sz w:val="21"/>
                <w:szCs w:val="21"/>
                <w:highlight w:val="none"/>
                <w:lang w:val="en-US" w:eastAsia="zh-CN"/>
              </w:rPr>
              <w:t>1</w:t>
            </w:r>
            <w:r>
              <w:rPr>
                <w:rFonts w:hint="eastAsia" w:ascii="仿宋_GB2312" w:hAnsi="仿宋"/>
                <w:b/>
                <w:sz w:val="21"/>
                <w:szCs w:val="21"/>
                <w:highlight w:val="none"/>
              </w:rPr>
              <w:t>月</w:t>
            </w:r>
            <w:r>
              <w:rPr>
                <w:rFonts w:hint="eastAsia" w:ascii="仿宋_GB2312" w:hAnsi="仿宋"/>
                <w:b/>
                <w:sz w:val="21"/>
                <w:szCs w:val="21"/>
                <w:highlight w:val="none"/>
                <w:lang w:val="en-US" w:eastAsia="zh-CN"/>
              </w:rPr>
              <w:t>27</w:t>
            </w:r>
            <w:r>
              <w:rPr>
                <w:rFonts w:hint="eastAsia" w:ascii="仿宋_GB2312" w:hAnsi="仿宋"/>
                <w:b/>
                <w:sz w:val="21"/>
                <w:szCs w:val="21"/>
                <w:highlight w:val="none"/>
              </w:rPr>
              <w:t xml:space="preserve"> 日</w:t>
            </w:r>
            <w:r>
              <w:rPr>
                <w:rFonts w:hint="eastAsia" w:ascii="仿宋_GB2312" w:hAnsi="仿宋"/>
                <w:b/>
                <w:sz w:val="21"/>
                <w:szCs w:val="21"/>
                <w:highlight w:val="none"/>
                <w:lang w:val="en-US" w:eastAsia="zh-CN"/>
              </w:rPr>
              <w:t>12:00</w:t>
            </w:r>
          </w:p>
          <w:p w14:paraId="3D56AC76">
            <w:pPr>
              <w:spacing w:line="300" w:lineRule="exact"/>
              <w:rPr>
                <w:rFonts w:ascii="仿宋_GB2312" w:hAnsi="微软雅黑" w:cs="宋体"/>
                <w:sz w:val="21"/>
                <w:szCs w:val="21"/>
                <w:highlight w:val="none"/>
              </w:rPr>
            </w:pPr>
            <w:r>
              <w:rPr>
                <w:rFonts w:hint="eastAsia" w:ascii="仿宋_GB2312" w:hAnsi="微软雅黑" w:cs="宋体"/>
                <w:sz w:val="21"/>
                <w:szCs w:val="21"/>
                <w:highlight w:val="none"/>
              </w:rPr>
              <w:t>递交地点：中粮</w:t>
            </w:r>
            <w:r>
              <w:rPr>
                <w:rFonts w:ascii="仿宋_GB2312" w:hAnsi="微软雅黑" w:cs="宋体"/>
                <w:sz w:val="21"/>
                <w:szCs w:val="21"/>
                <w:highlight w:val="none"/>
              </w:rPr>
              <w:t>E采供应链采购平台</w:t>
            </w:r>
          </w:p>
        </w:tc>
      </w:tr>
      <w:tr w14:paraId="2F4D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160CB9E7">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6</w:t>
            </w:r>
          </w:p>
        </w:tc>
        <w:tc>
          <w:tcPr>
            <w:tcW w:w="1276" w:type="dxa"/>
            <w:tcBorders>
              <w:top w:val="single" w:color="auto" w:sz="4" w:space="0"/>
              <w:left w:val="single" w:color="auto" w:sz="4" w:space="0"/>
              <w:bottom w:val="single" w:color="auto" w:sz="4" w:space="0"/>
              <w:right w:val="single" w:color="auto" w:sz="4" w:space="0"/>
            </w:tcBorders>
            <w:vAlign w:val="center"/>
          </w:tcPr>
          <w:p w14:paraId="3EDC8FA2">
            <w:pPr>
              <w:spacing w:line="300" w:lineRule="exact"/>
              <w:jc w:val="center"/>
              <w:rPr>
                <w:rFonts w:hint="eastAsia" w:ascii="仿宋_GB2312" w:hAnsi="微软雅黑" w:eastAsia="仿宋_GB2312"/>
                <w:sz w:val="21"/>
                <w:szCs w:val="21"/>
                <w:highlight w:val="none"/>
                <w:lang w:eastAsia="zh-CN"/>
              </w:rPr>
            </w:pPr>
            <w:r>
              <w:rPr>
                <w:rFonts w:hint="eastAsia" w:ascii="仿宋_GB2312" w:hAnsi="微软雅黑"/>
                <w:sz w:val="21"/>
                <w:szCs w:val="21"/>
                <w:highlight w:val="none"/>
                <w:lang w:eastAsia="zh-CN"/>
              </w:rPr>
              <w:t>询比</w:t>
            </w:r>
          </w:p>
          <w:p w14:paraId="38182504">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流程</w:t>
            </w:r>
          </w:p>
        </w:tc>
        <w:tc>
          <w:tcPr>
            <w:tcW w:w="7544" w:type="dxa"/>
            <w:tcBorders>
              <w:top w:val="single" w:color="auto" w:sz="4" w:space="0"/>
              <w:left w:val="single" w:color="auto" w:sz="4" w:space="0"/>
              <w:bottom w:val="single" w:color="auto" w:sz="4" w:space="0"/>
              <w:right w:val="single" w:color="auto" w:sz="4" w:space="0"/>
            </w:tcBorders>
            <w:vAlign w:val="center"/>
          </w:tcPr>
          <w:p w14:paraId="220401AC">
            <w:pPr>
              <w:spacing w:line="300" w:lineRule="exact"/>
              <w:rPr>
                <w:rFonts w:ascii="仿宋_GB2312" w:hAnsi="微软雅黑"/>
                <w:sz w:val="21"/>
                <w:szCs w:val="21"/>
                <w:highlight w:val="none"/>
              </w:rPr>
            </w:pPr>
            <w:r>
              <w:rPr>
                <w:rFonts w:hint="eastAsia" w:ascii="仿宋_GB2312" w:hAnsi="微软雅黑"/>
                <w:sz w:val="21"/>
                <w:szCs w:val="21"/>
                <w:highlight w:val="none"/>
              </w:rPr>
              <w:t>中国纺织项目评审小组根据各服务机构响应文件的商务部分、技术部分、</w:t>
            </w:r>
            <w:r>
              <w:rPr>
                <w:rFonts w:hint="eastAsia" w:ascii="仿宋_GB2312" w:hAnsi="微软雅黑"/>
                <w:sz w:val="21"/>
                <w:szCs w:val="21"/>
                <w:highlight w:val="none"/>
                <w:lang w:val="en-US" w:eastAsia="zh-CN"/>
              </w:rPr>
              <w:t>价格部分</w:t>
            </w:r>
            <w:r>
              <w:rPr>
                <w:rFonts w:hint="eastAsia" w:ascii="仿宋_GB2312" w:hAnsi="微软雅黑"/>
                <w:sz w:val="21"/>
                <w:szCs w:val="21"/>
                <w:highlight w:val="none"/>
              </w:rPr>
              <w:t>进行综合评分。</w:t>
            </w:r>
          </w:p>
        </w:tc>
      </w:tr>
      <w:tr w14:paraId="6EE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14:paraId="326A81A1">
            <w:pPr>
              <w:spacing w:line="300" w:lineRule="exact"/>
              <w:jc w:val="center"/>
              <w:rPr>
                <w:rFonts w:ascii="仿宋_GB2312" w:hAnsi="微软雅黑"/>
                <w:sz w:val="21"/>
                <w:szCs w:val="21"/>
                <w:highlight w:val="none"/>
              </w:rPr>
            </w:pPr>
            <w:r>
              <w:rPr>
                <w:rFonts w:ascii="仿宋_GB2312" w:hAnsi="微软雅黑"/>
                <w:sz w:val="21"/>
                <w:szCs w:val="21"/>
                <w:highlight w:val="none"/>
              </w:rPr>
              <w:t>7</w:t>
            </w:r>
          </w:p>
        </w:tc>
        <w:tc>
          <w:tcPr>
            <w:tcW w:w="1276" w:type="dxa"/>
            <w:tcBorders>
              <w:top w:val="single" w:color="auto" w:sz="4" w:space="0"/>
              <w:left w:val="single" w:color="auto" w:sz="4" w:space="0"/>
              <w:bottom w:val="single" w:color="auto" w:sz="4" w:space="0"/>
              <w:right w:val="single" w:color="auto" w:sz="4" w:space="0"/>
            </w:tcBorders>
            <w:vAlign w:val="center"/>
          </w:tcPr>
          <w:p w14:paraId="3C3DF676">
            <w:pPr>
              <w:spacing w:line="300" w:lineRule="exact"/>
              <w:jc w:val="center"/>
              <w:rPr>
                <w:rFonts w:ascii="仿宋_GB2312" w:hAnsi="微软雅黑"/>
                <w:sz w:val="21"/>
                <w:szCs w:val="21"/>
                <w:highlight w:val="none"/>
              </w:rPr>
            </w:pPr>
            <w:r>
              <w:rPr>
                <w:rFonts w:hint="eastAsia" w:ascii="仿宋_GB2312" w:hAnsi="微软雅黑"/>
                <w:sz w:val="21"/>
                <w:szCs w:val="21"/>
                <w:highlight w:val="none"/>
              </w:rPr>
              <w:t>评审方法及因素</w:t>
            </w:r>
          </w:p>
        </w:tc>
        <w:tc>
          <w:tcPr>
            <w:tcW w:w="7544" w:type="dxa"/>
            <w:tcBorders>
              <w:top w:val="single" w:color="auto" w:sz="4" w:space="0"/>
              <w:left w:val="single" w:color="auto" w:sz="4" w:space="0"/>
              <w:bottom w:val="single" w:color="auto" w:sz="4" w:space="0"/>
              <w:right w:val="single" w:color="auto" w:sz="4" w:space="0"/>
            </w:tcBorders>
            <w:vAlign w:val="center"/>
          </w:tcPr>
          <w:p w14:paraId="250F22FE">
            <w:pPr>
              <w:spacing w:line="300" w:lineRule="exact"/>
              <w:rPr>
                <w:rFonts w:ascii="仿宋_GB2312" w:hAnsi="微软雅黑"/>
                <w:sz w:val="21"/>
                <w:szCs w:val="21"/>
                <w:highlight w:val="none"/>
              </w:rPr>
            </w:pPr>
            <w:r>
              <w:rPr>
                <w:rFonts w:hint="eastAsia" w:ascii="仿宋_GB2312" w:hAnsi="微软雅黑"/>
                <w:sz w:val="21"/>
                <w:szCs w:val="21"/>
                <w:highlight w:val="none"/>
              </w:rPr>
              <w:t>本项目评审方法为综合评分法，满分100分，其中：商务部分2</w:t>
            </w:r>
            <w:r>
              <w:rPr>
                <w:rFonts w:hint="eastAsia" w:ascii="仿宋_GB2312" w:hAnsi="微软雅黑"/>
                <w:sz w:val="21"/>
                <w:szCs w:val="21"/>
                <w:highlight w:val="none"/>
                <w:lang w:val="en-US" w:eastAsia="zh-CN"/>
              </w:rPr>
              <w:t>0</w:t>
            </w:r>
            <w:r>
              <w:rPr>
                <w:rFonts w:hint="eastAsia" w:ascii="仿宋_GB2312" w:hAnsi="微软雅黑"/>
                <w:sz w:val="21"/>
                <w:szCs w:val="21"/>
                <w:highlight w:val="none"/>
              </w:rPr>
              <w:t>分、技术部分6</w:t>
            </w:r>
            <w:r>
              <w:rPr>
                <w:rFonts w:hint="eastAsia" w:ascii="仿宋_GB2312" w:hAnsi="微软雅黑"/>
                <w:sz w:val="21"/>
                <w:szCs w:val="21"/>
                <w:highlight w:val="none"/>
                <w:lang w:val="en-US" w:eastAsia="zh-CN"/>
              </w:rPr>
              <w:t>5</w:t>
            </w:r>
            <w:r>
              <w:rPr>
                <w:rFonts w:hint="eastAsia" w:ascii="仿宋_GB2312" w:hAnsi="微软雅黑"/>
                <w:sz w:val="21"/>
                <w:szCs w:val="21"/>
                <w:highlight w:val="none"/>
              </w:rPr>
              <w:t>分、价格部分</w:t>
            </w:r>
            <w:r>
              <w:rPr>
                <w:rFonts w:ascii="仿宋_GB2312" w:hAnsi="微软雅黑"/>
                <w:sz w:val="21"/>
                <w:szCs w:val="21"/>
                <w:highlight w:val="none"/>
              </w:rPr>
              <w:t>15</w:t>
            </w:r>
            <w:r>
              <w:rPr>
                <w:rFonts w:hint="eastAsia" w:ascii="仿宋_GB2312" w:hAnsi="微软雅黑"/>
                <w:sz w:val="21"/>
                <w:szCs w:val="21"/>
                <w:highlight w:val="none"/>
              </w:rPr>
              <w:t>分，推荐综合得分排名第一的作为本项目的中选服务机构。（具体评审细则可见采购文件尾页补充材料</w:t>
            </w:r>
            <w:r>
              <w:rPr>
                <w:rFonts w:ascii="仿宋_GB2312" w:hAnsi="微软雅黑"/>
                <w:sz w:val="21"/>
                <w:szCs w:val="21"/>
                <w:highlight w:val="none"/>
              </w:rPr>
              <w:t>3</w:t>
            </w:r>
            <w:r>
              <w:rPr>
                <w:rFonts w:hint="eastAsia" w:ascii="仿宋_GB2312" w:hAnsi="微软雅黑"/>
                <w:sz w:val="21"/>
                <w:szCs w:val="21"/>
                <w:highlight w:val="none"/>
              </w:rPr>
              <w:t>）</w:t>
            </w:r>
          </w:p>
        </w:tc>
      </w:tr>
    </w:tbl>
    <w:p w14:paraId="175C4591">
      <w:pPr>
        <w:spacing w:line="360" w:lineRule="auto"/>
        <w:outlineLvl w:val="1"/>
        <w:rPr>
          <w:rFonts w:ascii="仿宋_GB2312" w:hAnsi="微软雅黑"/>
          <w:b/>
          <w:bCs/>
          <w:sz w:val="24"/>
          <w:szCs w:val="21"/>
          <w:highlight w:val="none"/>
        </w:rPr>
      </w:pPr>
      <w:bookmarkStart w:id="4" w:name="_Toc32705"/>
      <w:bookmarkStart w:id="5" w:name="_Toc25991"/>
      <w:bookmarkStart w:id="6" w:name="_Toc450"/>
      <w:bookmarkStart w:id="7" w:name="_Toc435621707"/>
      <w:bookmarkStart w:id="8" w:name="_Toc83393196"/>
      <w:bookmarkStart w:id="9" w:name="_Toc320881387"/>
      <w:bookmarkStart w:id="10" w:name="_Toc330558596"/>
      <w:bookmarkStart w:id="11" w:name="_Toc320883171"/>
      <w:r>
        <w:rPr>
          <w:rFonts w:hint="eastAsia" w:ascii="仿宋_GB2312" w:hAnsi="微软雅黑"/>
          <w:b/>
          <w:bCs/>
          <w:sz w:val="24"/>
          <w:szCs w:val="21"/>
          <w:highlight w:val="none"/>
        </w:rPr>
        <w:t>2.总则</w:t>
      </w:r>
      <w:bookmarkEnd w:id="4"/>
      <w:bookmarkEnd w:id="5"/>
      <w:bookmarkEnd w:id="6"/>
      <w:bookmarkEnd w:id="7"/>
      <w:bookmarkEnd w:id="8"/>
    </w:p>
    <w:p w14:paraId="1EEADC28">
      <w:pPr>
        <w:spacing w:line="360" w:lineRule="auto"/>
        <w:outlineLvl w:val="2"/>
        <w:rPr>
          <w:rFonts w:ascii="仿宋_GB2312" w:hAnsi="微软雅黑"/>
          <w:b/>
          <w:bCs/>
          <w:sz w:val="24"/>
          <w:szCs w:val="21"/>
          <w:highlight w:val="none"/>
        </w:rPr>
      </w:pPr>
      <w:bookmarkStart w:id="12" w:name="_Toc16884"/>
      <w:bookmarkStart w:id="13" w:name="_Toc435621708"/>
      <w:bookmarkStart w:id="14" w:name="_Toc83393197"/>
      <w:r>
        <w:rPr>
          <w:rFonts w:hint="eastAsia" w:ascii="仿宋_GB2312" w:hAnsi="微软雅黑"/>
          <w:b/>
          <w:bCs/>
          <w:sz w:val="24"/>
          <w:szCs w:val="21"/>
          <w:highlight w:val="none"/>
        </w:rPr>
        <w:t>2.1适用范围</w:t>
      </w:r>
      <w:bookmarkEnd w:id="12"/>
      <w:bookmarkEnd w:id="13"/>
      <w:bookmarkEnd w:id="14"/>
    </w:p>
    <w:p w14:paraId="1ED5F47E">
      <w:pPr>
        <w:spacing w:line="360" w:lineRule="auto"/>
        <w:ind w:firstLine="480" w:firstLineChars="200"/>
        <w:rPr>
          <w:rFonts w:ascii="仿宋_GB2312" w:hAnsi="微软雅黑"/>
          <w:bCs/>
          <w:sz w:val="24"/>
          <w:szCs w:val="21"/>
          <w:highlight w:val="none"/>
        </w:rPr>
      </w:pPr>
      <w:r>
        <w:rPr>
          <w:rFonts w:hint="eastAsia" w:ascii="仿宋_GB2312" w:hAnsi="微软雅黑"/>
          <w:bCs/>
          <w:sz w:val="24"/>
          <w:szCs w:val="21"/>
          <w:highlight w:val="none"/>
        </w:rPr>
        <w:t>采购人：中国中纺集团有限公司</w:t>
      </w:r>
    </w:p>
    <w:p w14:paraId="28D43A4F">
      <w:pPr>
        <w:spacing w:line="360" w:lineRule="auto"/>
        <w:ind w:firstLine="480" w:firstLineChars="200"/>
        <w:rPr>
          <w:rFonts w:ascii="仿宋_GB2312" w:hAnsi="微软雅黑"/>
          <w:bCs/>
          <w:sz w:val="24"/>
          <w:szCs w:val="21"/>
          <w:highlight w:val="none"/>
        </w:rPr>
      </w:pPr>
      <w:r>
        <w:rPr>
          <w:rFonts w:hint="eastAsia" w:ascii="仿宋_GB2312" w:hAnsi="微软雅黑"/>
          <w:bCs/>
          <w:sz w:val="24"/>
          <w:szCs w:val="21"/>
          <w:highlight w:val="none"/>
        </w:rPr>
        <w:t>本采购文件仅适用于</w:t>
      </w:r>
      <w:r>
        <w:rPr>
          <w:rFonts w:hint="eastAsia" w:ascii="仿宋_GB2312" w:hAnsi="微软雅黑" w:cs="宋体"/>
          <w:sz w:val="24"/>
          <w:szCs w:val="21"/>
          <w:highlight w:val="none"/>
        </w:rPr>
        <w:t>福田公司对越南</w:t>
      </w:r>
      <w:r>
        <w:rPr>
          <w:rFonts w:hint="eastAsia" w:ascii="仿宋_GB2312" w:hAnsi="微软雅黑" w:cs="宋体"/>
          <w:sz w:val="24"/>
          <w:szCs w:val="21"/>
          <w:highlight w:val="none"/>
          <w:lang w:eastAsia="zh-CN"/>
        </w:rPr>
        <w:t>A</w:t>
      </w:r>
      <w:r>
        <w:rPr>
          <w:rFonts w:hint="eastAsia" w:ascii="仿宋_GB2312" w:hAnsi="微软雅黑" w:cs="宋体"/>
          <w:sz w:val="24"/>
          <w:szCs w:val="21"/>
          <w:highlight w:val="none"/>
        </w:rPr>
        <w:t xml:space="preserve"> 与 </w:t>
      </w:r>
      <w:r>
        <w:rPr>
          <w:rFonts w:hint="eastAsia" w:ascii="仿宋_GB2312" w:hAnsi="微软雅黑" w:cs="宋体"/>
          <w:sz w:val="24"/>
          <w:szCs w:val="21"/>
          <w:highlight w:val="none"/>
          <w:lang w:eastAsia="zh-CN"/>
        </w:rPr>
        <w:t>B</w:t>
      </w:r>
      <w:r>
        <w:rPr>
          <w:rFonts w:hint="eastAsia" w:ascii="仿宋_GB2312" w:hAnsi="微软雅黑" w:cs="宋体"/>
          <w:sz w:val="24"/>
          <w:szCs w:val="21"/>
          <w:highlight w:val="none"/>
        </w:rPr>
        <w:t xml:space="preserve"> 公司长期资产及股权价值评估服务</w:t>
      </w:r>
      <w:r>
        <w:rPr>
          <w:rFonts w:hint="eastAsia" w:ascii="仿宋_GB2312" w:hAnsi="微软雅黑" w:cs="宋体"/>
          <w:sz w:val="24"/>
          <w:szCs w:val="21"/>
          <w:highlight w:val="none"/>
          <w:lang w:eastAsia="zh-CN"/>
        </w:rPr>
        <w:t>询比</w:t>
      </w:r>
      <w:r>
        <w:rPr>
          <w:rFonts w:hint="eastAsia" w:ascii="仿宋_GB2312" w:hAnsi="微软雅黑" w:cs="宋体"/>
          <w:sz w:val="24"/>
          <w:szCs w:val="21"/>
          <w:highlight w:val="none"/>
        </w:rPr>
        <w:t>采购项目。</w:t>
      </w:r>
    </w:p>
    <w:p w14:paraId="725ACA8F">
      <w:pPr>
        <w:spacing w:line="360" w:lineRule="auto"/>
        <w:outlineLvl w:val="2"/>
        <w:rPr>
          <w:rFonts w:ascii="仿宋_GB2312" w:hAnsi="微软雅黑"/>
          <w:b/>
          <w:bCs/>
          <w:sz w:val="24"/>
          <w:szCs w:val="21"/>
          <w:highlight w:val="none"/>
        </w:rPr>
      </w:pPr>
      <w:bookmarkStart w:id="15" w:name="_Toc435621709"/>
      <w:bookmarkStart w:id="16" w:name="_Toc8700"/>
      <w:bookmarkStart w:id="17" w:name="_Toc83393198"/>
      <w:r>
        <w:rPr>
          <w:rFonts w:hint="eastAsia" w:ascii="仿宋_GB2312" w:hAnsi="微软雅黑"/>
          <w:b/>
          <w:bCs/>
          <w:sz w:val="24"/>
          <w:szCs w:val="21"/>
          <w:highlight w:val="none"/>
        </w:rPr>
        <w:t>2.2合格的</w:t>
      </w:r>
      <w:bookmarkEnd w:id="15"/>
      <w:bookmarkEnd w:id="16"/>
      <w:bookmarkEnd w:id="17"/>
      <w:r>
        <w:rPr>
          <w:rFonts w:hint="eastAsia" w:ascii="仿宋_GB2312" w:hAnsi="微软雅黑"/>
          <w:b/>
          <w:bCs/>
          <w:sz w:val="24"/>
          <w:szCs w:val="21"/>
          <w:highlight w:val="none"/>
        </w:rPr>
        <w:t>服务机构</w:t>
      </w:r>
    </w:p>
    <w:p w14:paraId="739FB510">
      <w:pPr>
        <w:spacing w:line="360" w:lineRule="auto"/>
        <w:rPr>
          <w:rFonts w:ascii="仿宋_GB2312" w:hAnsi="微软雅黑" w:cs="宋体"/>
          <w:sz w:val="24"/>
          <w:szCs w:val="21"/>
          <w:highlight w:val="none"/>
        </w:rPr>
      </w:pPr>
      <w:bookmarkStart w:id="18" w:name="_Toc435621710"/>
      <w:bookmarkStart w:id="19" w:name="_Toc16677"/>
      <w:r>
        <w:rPr>
          <w:rFonts w:hint="eastAsia" w:ascii="仿宋_GB2312" w:hAnsi="微软雅黑" w:cs="宋体"/>
          <w:sz w:val="24"/>
          <w:szCs w:val="21"/>
          <w:highlight w:val="none"/>
        </w:rPr>
        <w:t>2.2.1具有独立法人资格的公司或其分支机构。</w:t>
      </w:r>
    </w:p>
    <w:p w14:paraId="7791B39E">
      <w:pPr>
        <w:spacing w:line="360" w:lineRule="auto"/>
        <w:rPr>
          <w:rFonts w:ascii="仿宋_GB2312" w:hAnsi="微软雅黑" w:cs="宋体"/>
          <w:sz w:val="24"/>
          <w:szCs w:val="21"/>
          <w:highlight w:val="none"/>
        </w:rPr>
      </w:pPr>
      <w:r>
        <w:rPr>
          <w:rFonts w:hint="eastAsia" w:ascii="仿宋_GB2312" w:hAnsi="微软雅黑" w:cs="宋体"/>
          <w:sz w:val="24"/>
          <w:szCs w:val="21"/>
          <w:highlight w:val="none"/>
        </w:rPr>
        <w:t>2.2.2具有履行合同所必需的专业技术和服务能力。</w:t>
      </w:r>
    </w:p>
    <w:p w14:paraId="5CB224F3">
      <w:pPr>
        <w:spacing w:line="360" w:lineRule="auto"/>
        <w:rPr>
          <w:rFonts w:ascii="仿宋_GB2312" w:hAnsi="微软雅黑" w:cs="宋体"/>
          <w:sz w:val="24"/>
          <w:szCs w:val="21"/>
          <w:highlight w:val="none"/>
        </w:rPr>
      </w:pPr>
      <w:r>
        <w:rPr>
          <w:rFonts w:hint="eastAsia" w:ascii="仿宋_GB2312" w:hAnsi="微软雅黑" w:cs="宋体"/>
          <w:sz w:val="24"/>
          <w:szCs w:val="21"/>
          <w:highlight w:val="none"/>
        </w:rPr>
        <w:t>2.2.3具有境外中介服务经验。</w:t>
      </w:r>
    </w:p>
    <w:p w14:paraId="57A87B33">
      <w:pPr>
        <w:spacing w:line="360" w:lineRule="auto"/>
        <w:rPr>
          <w:rFonts w:ascii="仿宋_GB2312" w:hAnsi="微软雅黑" w:cs="宋体"/>
          <w:sz w:val="24"/>
          <w:szCs w:val="21"/>
          <w:highlight w:val="none"/>
        </w:rPr>
      </w:pPr>
      <w:r>
        <w:rPr>
          <w:rFonts w:hint="eastAsia" w:ascii="仿宋_GB2312" w:hAnsi="微软雅黑" w:cs="宋体"/>
          <w:sz w:val="24"/>
          <w:szCs w:val="21"/>
          <w:highlight w:val="none"/>
        </w:rPr>
        <w:t>2.2.4参加此项采购活动近三年（</w:t>
      </w:r>
      <w:r>
        <w:rPr>
          <w:rFonts w:ascii="仿宋_GB2312" w:hAnsi="微软雅黑" w:cs="宋体"/>
          <w:sz w:val="24"/>
          <w:szCs w:val="21"/>
          <w:highlight w:val="none"/>
        </w:rPr>
        <w:t>202</w:t>
      </w:r>
      <w:r>
        <w:rPr>
          <w:rFonts w:hint="eastAsia" w:ascii="仿宋_GB2312" w:hAnsi="微软雅黑" w:cs="宋体"/>
          <w:sz w:val="24"/>
          <w:szCs w:val="21"/>
          <w:highlight w:val="none"/>
        </w:rPr>
        <w:t>3.</w:t>
      </w:r>
      <w:r>
        <w:rPr>
          <w:rFonts w:ascii="仿宋_GB2312" w:hAnsi="微软雅黑" w:cs="宋体"/>
          <w:sz w:val="24"/>
          <w:szCs w:val="21"/>
          <w:highlight w:val="none"/>
        </w:rPr>
        <w:t>1</w:t>
      </w:r>
      <w:r>
        <w:rPr>
          <w:rFonts w:hint="eastAsia" w:ascii="仿宋_GB2312" w:hAnsi="微软雅黑" w:cs="宋体"/>
          <w:sz w:val="24"/>
          <w:szCs w:val="21"/>
          <w:highlight w:val="none"/>
        </w:rPr>
        <w:t>-</w:t>
      </w:r>
      <w:r>
        <w:rPr>
          <w:rFonts w:ascii="仿宋_GB2312" w:hAnsi="微软雅黑" w:cs="宋体"/>
          <w:sz w:val="24"/>
          <w:szCs w:val="21"/>
          <w:highlight w:val="none"/>
        </w:rPr>
        <w:t>202</w:t>
      </w:r>
      <w:r>
        <w:rPr>
          <w:rFonts w:hint="eastAsia" w:ascii="仿宋_GB2312" w:hAnsi="微软雅黑" w:cs="宋体"/>
          <w:sz w:val="24"/>
          <w:szCs w:val="21"/>
          <w:highlight w:val="none"/>
        </w:rPr>
        <w:t>5.12</w:t>
      </w:r>
      <w:r>
        <w:rPr>
          <w:rFonts w:ascii="仿宋_GB2312" w:hAnsi="微软雅黑" w:cs="宋体"/>
          <w:sz w:val="24"/>
          <w:szCs w:val="21"/>
          <w:highlight w:val="none"/>
        </w:rPr>
        <w:t>）内，</w:t>
      </w:r>
      <w:r>
        <w:rPr>
          <w:rFonts w:hint="eastAsia" w:ascii="仿宋_GB2312" w:hAnsi="微软雅黑" w:cs="宋体"/>
          <w:sz w:val="24"/>
          <w:szCs w:val="21"/>
          <w:highlight w:val="none"/>
        </w:rPr>
        <w:t>在经营活动中没有重大违法记录。</w:t>
      </w:r>
    </w:p>
    <w:p w14:paraId="7FB43FD2">
      <w:pPr>
        <w:spacing w:line="360" w:lineRule="auto"/>
        <w:rPr>
          <w:rFonts w:ascii="仿宋_GB2312" w:hAnsi="微软雅黑" w:cs="宋体"/>
          <w:sz w:val="24"/>
          <w:szCs w:val="21"/>
          <w:highlight w:val="none"/>
        </w:rPr>
      </w:pPr>
      <w:r>
        <w:rPr>
          <w:rFonts w:hint="eastAsia" w:ascii="仿宋_GB2312" w:hAnsi="微软雅黑" w:cs="宋体"/>
          <w:sz w:val="24"/>
          <w:szCs w:val="21"/>
          <w:highlight w:val="none"/>
        </w:rPr>
        <w:t>2.2.5属于中粮集团评估机构备选库内的机构。</w:t>
      </w:r>
    </w:p>
    <w:p w14:paraId="52074C97">
      <w:pPr>
        <w:spacing w:line="360" w:lineRule="auto"/>
        <w:outlineLvl w:val="2"/>
        <w:rPr>
          <w:rFonts w:ascii="仿宋_GB2312" w:hAnsi="微软雅黑"/>
          <w:b/>
          <w:bCs/>
          <w:sz w:val="24"/>
          <w:szCs w:val="21"/>
          <w:highlight w:val="none"/>
        </w:rPr>
      </w:pPr>
      <w:bookmarkStart w:id="20" w:name="_Toc83393199"/>
      <w:r>
        <w:rPr>
          <w:rFonts w:hint="eastAsia" w:ascii="仿宋_GB2312" w:hAnsi="微软雅黑"/>
          <w:b/>
          <w:bCs/>
          <w:sz w:val="24"/>
          <w:szCs w:val="21"/>
          <w:highlight w:val="none"/>
        </w:rPr>
        <w:t>2.3合格的服务</w:t>
      </w:r>
      <w:bookmarkEnd w:id="18"/>
      <w:bookmarkEnd w:id="19"/>
      <w:bookmarkEnd w:id="20"/>
    </w:p>
    <w:p w14:paraId="607FC078">
      <w:pPr>
        <w:spacing w:line="360" w:lineRule="auto"/>
        <w:rPr>
          <w:rFonts w:ascii="仿宋_GB2312" w:hAnsi="微软雅黑"/>
          <w:bCs/>
          <w:sz w:val="24"/>
          <w:szCs w:val="21"/>
          <w:highlight w:val="none"/>
        </w:rPr>
      </w:pPr>
      <w:r>
        <w:rPr>
          <w:rFonts w:hint="eastAsia" w:ascii="仿宋_GB2312" w:hAnsi="微软雅黑"/>
          <w:bCs/>
          <w:sz w:val="24"/>
          <w:szCs w:val="21"/>
          <w:highlight w:val="none"/>
        </w:rPr>
        <w:t>2.3.1服务机构提供的服务应满足以下服务需求：</w:t>
      </w:r>
    </w:p>
    <w:p w14:paraId="12716A25">
      <w:pPr>
        <w:spacing w:line="360" w:lineRule="auto"/>
        <w:ind w:firstLine="480" w:firstLineChars="200"/>
        <w:rPr>
          <w:rFonts w:ascii="仿宋_GB2312" w:hAnsi="微软雅黑"/>
          <w:bCs/>
          <w:sz w:val="24"/>
          <w:szCs w:val="21"/>
          <w:highlight w:val="none"/>
        </w:rPr>
      </w:pPr>
      <w:r>
        <w:rPr>
          <w:rFonts w:hint="eastAsia" w:ascii="仿宋_GB2312" w:hAnsi="微软雅黑"/>
          <w:bCs/>
          <w:sz w:val="24"/>
          <w:szCs w:val="21"/>
          <w:highlight w:val="none"/>
        </w:rPr>
        <w:t xml:space="preserve">（1）第一阶段基于  2025 年 </w:t>
      </w:r>
      <w:r>
        <w:rPr>
          <w:rFonts w:hint="eastAsia" w:ascii="仿宋_GB2312" w:hAnsi="微软雅黑"/>
          <w:bCs/>
          <w:sz w:val="24"/>
          <w:szCs w:val="21"/>
          <w:highlight w:val="none"/>
          <w:lang w:val="en-US" w:eastAsia="zh-CN"/>
        </w:rPr>
        <w:t>9</w:t>
      </w:r>
      <w:r>
        <w:rPr>
          <w:rFonts w:hint="eastAsia" w:ascii="仿宋_GB2312" w:hAnsi="微软雅黑"/>
          <w:bCs/>
          <w:sz w:val="24"/>
          <w:szCs w:val="21"/>
          <w:highlight w:val="none"/>
        </w:rPr>
        <w:t xml:space="preserve"> 月 </w:t>
      </w:r>
      <w:r>
        <w:rPr>
          <w:rFonts w:hint="eastAsia" w:ascii="仿宋_GB2312" w:hAnsi="微软雅黑"/>
          <w:bCs/>
          <w:sz w:val="24"/>
          <w:szCs w:val="21"/>
          <w:highlight w:val="none"/>
          <w:lang w:val="en-US" w:eastAsia="zh-CN"/>
        </w:rPr>
        <w:t>30</w:t>
      </w:r>
      <w:r>
        <w:rPr>
          <w:rFonts w:hint="eastAsia" w:ascii="仿宋_GB2312" w:hAnsi="微软雅黑"/>
          <w:bCs/>
          <w:sz w:val="24"/>
          <w:szCs w:val="21"/>
          <w:highlight w:val="none"/>
        </w:rPr>
        <w:t xml:space="preserve"> 日</w:t>
      </w:r>
      <w:r>
        <w:rPr>
          <w:rFonts w:hint="eastAsia" w:ascii="仿宋_GB2312" w:hAnsi="微软雅黑"/>
          <w:bCs/>
          <w:sz w:val="24"/>
          <w:szCs w:val="21"/>
          <w:highlight w:val="none"/>
          <w:lang w:val="en-US" w:eastAsia="zh-CN"/>
        </w:rPr>
        <w:t>或</w:t>
      </w:r>
      <w:r>
        <w:rPr>
          <w:rFonts w:hint="eastAsia" w:ascii="仿宋_GB2312" w:hAnsi="微软雅黑"/>
          <w:bCs/>
          <w:sz w:val="24"/>
          <w:szCs w:val="21"/>
          <w:highlight w:val="none"/>
        </w:rPr>
        <w:t>2025 年 12 月 31 日基准日审计报告，出具两家公司土地、建筑物、机械设备及其他长期资产的具体价值结果；第二阶段基于确定的基准日审计报告，出具两家公司股权价值评估报告；如评估期间发生调整，将与服务机构提前协商；</w:t>
      </w:r>
    </w:p>
    <w:p w14:paraId="478BE39B">
      <w:pPr>
        <w:spacing w:line="360" w:lineRule="auto"/>
        <w:ind w:firstLine="480" w:firstLineChars="200"/>
        <w:rPr>
          <w:rFonts w:ascii="仿宋_GB2312" w:hAnsi="微软雅黑"/>
          <w:bCs/>
          <w:sz w:val="24"/>
          <w:szCs w:val="21"/>
          <w:highlight w:val="none"/>
        </w:rPr>
      </w:pPr>
      <w:r>
        <w:rPr>
          <w:rFonts w:hint="eastAsia" w:ascii="仿宋_GB2312" w:hAnsi="微软雅黑"/>
          <w:bCs/>
          <w:sz w:val="24"/>
          <w:szCs w:val="21"/>
          <w:highlight w:val="none"/>
        </w:rPr>
        <w:t>（</w:t>
      </w:r>
      <w:r>
        <w:rPr>
          <w:rFonts w:ascii="仿宋_GB2312" w:hAnsi="微软雅黑"/>
          <w:bCs/>
          <w:sz w:val="24"/>
          <w:szCs w:val="21"/>
          <w:highlight w:val="none"/>
        </w:rPr>
        <w:t>2</w:t>
      </w:r>
      <w:r>
        <w:rPr>
          <w:rFonts w:hint="eastAsia" w:ascii="仿宋_GB2312" w:hAnsi="微软雅黑"/>
          <w:bCs/>
          <w:sz w:val="24"/>
          <w:szCs w:val="21"/>
          <w:highlight w:val="none"/>
        </w:rPr>
        <w:t>）</w:t>
      </w:r>
      <w:r>
        <w:rPr>
          <w:rFonts w:ascii="仿宋_GB2312" w:hAnsi="微软雅黑"/>
          <w:bCs/>
          <w:sz w:val="24"/>
          <w:szCs w:val="21"/>
          <w:highlight w:val="none"/>
        </w:rPr>
        <w:t>配合委托方完成该投资项目所需其他工作</w:t>
      </w:r>
      <w:r>
        <w:rPr>
          <w:rFonts w:hint="eastAsia" w:ascii="仿宋_GB2312" w:hAnsi="微软雅黑"/>
          <w:bCs/>
          <w:sz w:val="24"/>
          <w:szCs w:val="21"/>
          <w:highlight w:val="none"/>
        </w:rPr>
        <w:t>；</w:t>
      </w:r>
    </w:p>
    <w:p w14:paraId="1950BEE3">
      <w:pPr>
        <w:spacing w:line="360" w:lineRule="auto"/>
        <w:ind w:firstLine="480" w:firstLineChars="200"/>
        <w:rPr>
          <w:rFonts w:ascii="仿宋_GB2312" w:hAnsi="微软雅黑"/>
          <w:bCs/>
          <w:sz w:val="24"/>
          <w:szCs w:val="21"/>
          <w:highlight w:val="none"/>
        </w:rPr>
      </w:pPr>
      <w:r>
        <w:rPr>
          <w:rFonts w:hint="eastAsia" w:ascii="仿宋_GB2312" w:hAnsi="微软雅黑"/>
          <w:bCs/>
          <w:sz w:val="24"/>
          <w:szCs w:val="21"/>
          <w:highlight w:val="none"/>
        </w:rPr>
        <w:t>（3）确保报告及服务质量。</w:t>
      </w:r>
    </w:p>
    <w:p w14:paraId="4658F2E1">
      <w:pPr>
        <w:spacing w:line="360" w:lineRule="auto"/>
        <w:rPr>
          <w:rFonts w:ascii="仿宋_GB2312" w:hAnsi="微软雅黑"/>
          <w:bCs/>
          <w:sz w:val="24"/>
          <w:szCs w:val="21"/>
          <w:highlight w:val="none"/>
        </w:rPr>
      </w:pPr>
      <w:r>
        <w:rPr>
          <w:rFonts w:hint="eastAsia" w:ascii="仿宋_GB2312" w:hAnsi="微软雅黑"/>
          <w:bCs/>
          <w:sz w:val="24"/>
          <w:szCs w:val="21"/>
          <w:highlight w:val="none"/>
        </w:rPr>
        <w:t>2.3.2服务机构应保证采购人不会由于使用服务机构提供的服务而侵犯任何专利权或其他知识产权，并保证采购人不会承担与此有关的赔偿、诉讼及其它费用。</w:t>
      </w:r>
    </w:p>
    <w:p w14:paraId="73081753">
      <w:pPr>
        <w:spacing w:line="360" w:lineRule="auto"/>
        <w:outlineLvl w:val="2"/>
        <w:rPr>
          <w:rFonts w:ascii="仿宋_GB2312" w:hAnsi="微软雅黑"/>
          <w:b/>
          <w:bCs/>
          <w:sz w:val="24"/>
          <w:szCs w:val="21"/>
          <w:highlight w:val="none"/>
        </w:rPr>
      </w:pPr>
      <w:bookmarkStart w:id="21" w:name="_Toc435621711"/>
      <w:bookmarkStart w:id="22" w:name="_Toc83393200"/>
      <w:bookmarkStart w:id="23" w:name="_Toc6499"/>
      <w:r>
        <w:rPr>
          <w:rFonts w:hint="eastAsia" w:ascii="仿宋_GB2312" w:hAnsi="微软雅黑"/>
          <w:b/>
          <w:bCs/>
          <w:sz w:val="24"/>
          <w:szCs w:val="21"/>
          <w:highlight w:val="none"/>
        </w:rPr>
        <w:t>2.4采购文件的约束力</w:t>
      </w:r>
      <w:bookmarkEnd w:id="21"/>
      <w:bookmarkEnd w:id="22"/>
      <w:bookmarkEnd w:id="23"/>
    </w:p>
    <w:p w14:paraId="6962D62A">
      <w:pPr>
        <w:spacing w:line="360" w:lineRule="auto"/>
        <w:rPr>
          <w:rFonts w:ascii="仿宋_GB2312" w:hAnsi="微软雅黑"/>
          <w:bCs/>
          <w:sz w:val="24"/>
          <w:szCs w:val="21"/>
          <w:highlight w:val="none"/>
        </w:rPr>
      </w:pPr>
      <w:r>
        <w:rPr>
          <w:rFonts w:hint="eastAsia" w:ascii="仿宋_GB2312" w:hAnsi="微软雅黑"/>
          <w:bCs/>
          <w:sz w:val="24"/>
          <w:szCs w:val="21"/>
          <w:highlight w:val="none"/>
        </w:rPr>
        <w:t>2.4.1服务机构一旦领取了本采购文件并参加</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，即被认为接受了本采购文件中的所有条件和规定。</w:t>
      </w:r>
    </w:p>
    <w:p w14:paraId="5F25A2A7">
      <w:pPr>
        <w:spacing w:line="360" w:lineRule="auto"/>
        <w:jc w:val="both"/>
        <w:rPr>
          <w:rFonts w:ascii="仿宋_GB2312" w:hAnsi="微软雅黑"/>
          <w:bCs/>
          <w:sz w:val="24"/>
          <w:szCs w:val="21"/>
          <w:highlight w:val="none"/>
        </w:rPr>
      </w:pPr>
      <w:r>
        <w:rPr>
          <w:rFonts w:hint="eastAsia" w:ascii="仿宋_GB2312" w:hAnsi="微软雅黑"/>
          <w:bCs/>
          <w:sz w:val="24"/>
          <w:szCs w:val="21"/>
          <w:highlight w:val="none"/>
        </w:rPr>
        <w:t>2.4.2服务机构应认真阅读采购文件中所有的事项、条款和规范等要求。如果服务机构没有按照采购文件要求提交全部资料，或者没有对采购文件在各方面作出实质性响应，该响应文件可能导致被拒绝，其风险应由服务机构自行承担。</w:t>
      </w:r>
    </w:p>
    <w:p w14:paraId="5B03A24B">
      <w:pPr>
        <w:spacing w:line="360" w:lineRule="auto"/>
        <w:outlineLvl w:val="2"/>
        <w:rPr>
          <w:rFonts w:ascii="仿宋_GB2312" w:hAnsi="微软雅黑"/>
          <w:b/>
          <w:bCs/>
          <w:sz w:val="24"/>
          <w:szCs w:val="21"/>
          <w:highlight w:val="none"/>
        </w:rPr>
      </w:pPr>
      <w:bookmarkStart w:id="24" w:name="_Toc5718"/>
      <w:bookmarkStart w:id="25" w:name="_Toc435621712"/>
      <w:bookmarkStart w:id="26" w:name="_Toc83393201"/>
      <w:r>
        <w:rPr>
          <w:rFonts w:hint="eastAsia" w:ascii="仿宋_GB2312" w:hAnsi="微软雅黑"/>
          <w:b/>
          <w:bCs/>
          <w:sz w:val="24"/>
          <w:szCs w:val="21"/>
          <w:highlight w:val="none"/>
        </w:rPr>
        <w:t>2.5</w:t>
      </w:r>
      <w:r>
        <w:rPr>
          <w:rFonts w:hint="eastAsia" w:ascii="仿宋_GB2312" w:hAnsi="微软雅黑"/>
          <w:b/>
          <w:bCs/>
          <w:sz w:val="24"/>
          <w:szCs w:val="21"/>
          <w:highlight w:val="none"/>
          <w:lang w:eastAsia="zh-CN"/>
        </w:rPr>
        <w:t>询比</w:t>
      </w:r>
      <w:r>
        <w:rPr>
          <w:rFonts w:hint="eastAsia" w:ascii="仿宋_GB2312" w:hAnsi="微软雅黑"/>
          <w:b/>
          <w:bCs/>
          <w:sz w:val="24"/>
          <w:szCs w:val="21"/>
          <w:highlight w:val="none"/>
        </w:rPr>
        <w:t>费用</w:t>
      </w:r>
      <w:bookmarkEnd w:id="24"/>
      <w:bookmarkEnd w:id="25"/>
      <w:bookmarkEnd w:id="26"/>
    </w:p>
    <w:p w14:paraId="53AF6D5C">
      <w:pPr>
        <w:spacing w:line="360" w:lineRule="auto"/>
        <w:ind w:firstLine="480" w:firstLineChars="200"/>
        <w:jc w:val="both"/>
        <w:rPr>
          <w:rFonts w:ascii="仿宋_GB2312" w:hAnsi="微软雅黑"/>
          <w:bCs/>
          <w:sz w:val="24"/>
          <w:szCs w:val="21"/>
          <w:highlight w:val="none"/>
        </w:rPr>
      </w:pPr>
      <w:r>
        <w:rPr>
          <w:rFonts w:hint="eastAsia" w:ascii="仿宋_GB2312" w:hAnsi="微软雅黑"/>
          <w:bCs/>
          <w:sz w:val="24"/>
          <w:szCs w:val="21"/>
          <w:highlight w:val="none"/>
        </w:rPr>
        <w:t>服务机构自行承担所有与准备和参加</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有关的费用。无论</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的结果如何，采购人无义务和责任承担这些费用。</w:t>
      </w:r>
    </w:p>
    <w:p w14:paraId="0F03109E">
      <w:pPr>
        <w:spacing w:line="360" w:lineRule="auto"/>
        <w:jc w:val="both"/>
        <w:outlineLvl w:val="1"/>
        <w:rPr>
          <w:rFonts w:ascii="仿宋_GB2312" w:hAnsi="微软雅黑"/>
          <w:b/>
          <w:bCs/>
          <w:sz w:val="24"/>
          <w:szCs w:val="21"/>
          <w:highlight w:val="none"/>
        </w:rPr>
      </w:pPr>
      <w:bookmarkStart w:id="27" w:name="_Toc435621713"/>
      <w:bookmarkStart w:id="28" w:name="_Toc19709"/>
      <w:bookmarkStart w:id="29" w:name="_Toc20709"/>
      <w:bookmarkStart w:id="30" w:name="_Toc25208"/>
      <w:bookmarkStart w:id="31" w:name="_Toc83393202"/>
      <w:r>
        <w:rPr>
          <w:rFonts w:hint="eastAsia" w:ascii="仿宋_GB2312" w:hAnsi="微软雅黑"/>
          <w:b/>
          <w:bCs/>
          <w:sz w:val="24"/>
          <w:szCs w:val="21"/>
          <w:highlight w:val="none"/>
        </w:rPr>
        <w:t>3.</w:t>
      </w:r>
      <w:bookmarkEnd w:id="27"/>
      <w:bookmarkEnd w:id="28"/>
      <w:bookmarkEnd w:id="29"/>
      <w:bookmarkEnd w:id="30"/>
      <w:r>
        <w:rPr>
          <w:rFonts w:hint="eastAsia" w:ascii="仿宋_GB2312" w:hAnsi="微软雅黑"/>
          <w:b/>
          <w:bCs/>
          <w:sz w:val="24"/>
          <w:szCs w:val="21"/>
          <w:highlight w:val="none"/>
        </w:rPr>
        <w:t>采购文件的构成</w:t>
      </w:r>
      <w:bookmarkEnd w:id="31"/>
    </w:p>
    <w:p w14:paraId="4E476991">
      <w:pPr>
        <w:spacing w:line="360" w:lineRule="auto"/>
        <w:ind w:firstLine="480" w:firstLineChars="200"/>
        <w:jc w:val="both"/>
        <w:rPr>
          <w:rFonts w:ascii="仿宋_GB2312" w:hAnsi="微软雅黑"/>
          <w:bCs/>
          <w:sz w:val="24"/>
          <w:szCs w:val="21"/>
          <w:highlight w:val="none"/>
        </w:rPr>
      </w:pPr>
      <w:r>
        <w:rPr>
          <w:rFonts w:hint="eastAsia" w:ascii="仿宋_GB2312" w:hAnsi="微软雅黑"/>
          <w:bCs/>
          <w:sz w:val="24"/>
          <w:szCs w:val="21"/>
          <w:highlight w:val="none"/>
        </w:rPr>
        <w:t>第一部分</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采购公告</w:t>
      </w:r>
    </w:p>
    <w:p w14:paraId="62FB85EA">
      <w:pPr>
        <w:spacing w:line="360" w:lineRule="auto"/>
        <w:ind w:firstLine="480" w:firstLineChars="200"/>
        <w:jc w:val="both"/>
        <w:rPr>
          <w:rFonts w:ascii="仿宋_GB2312" w:hAnsi="微软雅黑"/>
          <w:bCs/>
          <w:sz w:val="24"/>
          <w:szCs w:val="21"/>
          <w:highlight w:val="none"/>
        </w:rPr>
      </w:pPr>
      <w:r>
        <w:rPr>
          <w:rFonts w:hint="eastAsia" w:ascii="仿宋_GB2312" w:hAnsi="微软雅黑"/>
          <w:bCs/>
          <w:sz w:val="24"/>
          <w:szCs w:val="21"/>
          <w:highlight w:val="none"/>
        </w:rPr>
        <w:t>第二部分服务须知</w:t>
      </w:r>
    </w:p>
    <w:p w14:paraId="34C943C8">
      <w:pPr>
        <w:spacing w:line="360" w:lineRule="auto"/>
        <w:ind w:firstLine="480" w:firstLineChars="200"/>
        <w:jc w:val="both"/>
        <w:rPr>
          <w:rFonts w:ascii="仿宋_GB2312" w:hAnsi="微软雅黑"/>
          <w:bCs/>
          <w:sz w:val="24"/>
          <w:szCs w:val="21"/>
          <w:highlight w:val="none"/>
        </w:rPr>
      </w:pPr>
      <w:r>
        <w:rPr>
          <w:rFonts w:hint="eastAsia" w:ascii="仿宋_GB2312" w:hAnsi="微软雅黑"/>
          <w:bCs/>
          <w:sz w:val="24"/>
          <w:szCs w:val="21"/>
          <w:highlight w:val="none"/>
        </w:rPr>
        <w:t>第三部分响应文件格式</w:t>
      </w:r>
    </w:p>
    <w:p w14:paraId="05020928">
      <w:pPr>
        <w:spacing w:line="360" w:lineRule="auto"/>
        <w:jc w:val="both"/>
        <w:outlineLvl w:val="1"/>
        <w:rPr>
          <w:rFonts w:ascii="仿宋_GB2312" w:hAnsi="微软雅黑"/>
          <w:b/>
          <w:bCs/>
          <w:sz w:val="24"/>
          <w:szCs w:val="21"/>
          <w:highlight w:val="none"/>
        </w:rPr>
      </w:pPr>
      <w:bookmarkStart w:id="32" w:name="_Toc13920"/>
      <w:bookmarkStart w:id="33" w:name="_Toc83393203"/>
      <w:bookmarkStart w:id="34" w:name="_Toc15135"/>
      <w:bookmarkStart w:id="35" w:name="_Toc435621719"/>
      <w:bookmarkStart w:id="36" w:name="_Toc22882"/>
      <w:r>
        <w:rPr>
          <w:rFonts w:hint="eastAsia" w:ascii="仿宋_GB2312" w:hAnsi="微软雅黑"/>
          <w:b/>
          <w:bCs/>
          <w:sz w:val="24"/>
          <w:szCs w:val="21"/>
          <w:highlight w:val="none"/>
        </w:rPr>
        <w:t>4.响应文件有效期</w:t>
      </w:r>
      <w:bookmarkEnd w:id="32"/>
      <w:bookmarkEnd w:id="33"/>
      <w:bookmarkEnd w:id="34"/>
      <w:bookmarkEnd w:id="35"/>
      <w:bookmarkEnd w:id="36"/>
    </w:p>
    <w:p w14:paraId="19702D52">
      <w:pPr>
        <w:spacing w:line="360" w:lineRule="auto"/>
        <w:jc w:val="both"/>
        <w:outlineLvl w:val="2"/>
        <w:rPr>
          <w:rFonts w:ascii="仿宋_GB2312" w:hAnsi="微软雅黑"/>
          <w:b/>
          <w:bCs/>
          <w:sz w:val="24"/>
          <w:szCs w:val="21"/>
          <w:highlight w:val="none"/>
        </w:rPr>
      </w:pPr>
      <w:bookmarkStart w:id="37" w:name="_Toc435621720"/>
      <w:bookmarkStart w:id="38" w:name="_Toc83393204"/>
      <w:bookmarkStart w:id="39" w:name="_Toc31145"/>
      <w:r>
        <w:rPr>
          <w:rFonts w:hint="eastAsia" w:ascii="仿宋_GB2312" w:hAnsi="微软雅黑"/>
          <w:b/>
          <w:bCs/>
          <w:sz w:val="24"/>
          <w:szCs w:val="21"/>
          <w:highlight w:val="none"/>
        </w:rPr>
        <w:t>4.1有效期计算</w:t>
      </w:r>
      <w:bookmarkEnd w:id="37"/>
      <w:bookmarkEnd w:id="38"/>
      <w:bookmarkEnd w:id="39"/>
    </w:p>
    <w:p w14:paraId="6B95A0F7">
      <w:pPr>
        <w:spacing w:line="360" w:lineRule="auto"/>
        <w:ind w:firstLine="480" w:firstLineChars="200"/>
        <w:jc w:val="both"/>
        <w:rPr>
          <w:rFonts w:ascii="仿宋_GB2312" w:hAnsi="微软雅黑"/>
          <w:bCs/>
          <w:sz w:val="24"/>
          <w:szCs w:val="21"/>
          <w:highlight w:val="none"/>
        </w:rPr>
      </w:pPr>
      <w:r>
        <w:rPr>
          <w:rFonts w:hint="eastAsia" w:ascii="仿宋_GB2312" w:hAnsi="微软雅黑"/>
          <w:bCs/>
          <w:sz w:val="24"/>
          <w:szCs w:val="21"/>
          <w:highlight w:val="none"/>
        </w:rPr>
        <w:t>有效期从《响应文件》递交截止之日起90天内保持有效。响应有效期不足的将导致其被拒绝参加</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w:t>
      </w:r>
    </w:p>
    <w:p w14:paraId="5894B5B6">
      <w:pPr>
        <w:spacing w:line="360" w:lineRule="auto"/>
        <w:jc w:val="both"/>
        <w:outlineLvl w:val="2"/>
        <w:rPr>
          <w:rFonts w:ascii="仿宋_GB2312" w:hAnsi="微软雅黑"/>
          <w:b/>
          <w:bCs/>
          <w:sz w:val="24"/>
          <w:szCs w:val="21"/>
          <w:highlight w:val="none"/>
        </w:rPr>
      </w:pPr>
      <w:bookmarkStart w:id="40" w:name="_Toc83393205"/>
      <w:bookmarkStart w:id="41" w:name="_Toc14851"/>
      <w:bookmarkStart w:id="42" w:name="_Toc435621721"/>
      <w:r>
        <w:rPr>
          <w:rFonts w:hint="eastAsia" w:ascii="仿宋_GB2312" w:hAnsi="微软雅黑"/>
          <w:b/>
          <w:bCs/>
          <w:sz w:val="24"/>
          <w:szCs w:val="21"/>
          <w:highlight w:val="none"/>
        </w:rPr>
        <w:t>4.2有效期延长</w:t>
      </w:r>
      <w:bookmarkEnd w:id="40"/>
      <w:bookmarkEnd w:id="41"/>
      <w:bookmarkEnd w:id="42"/>
    </w:p>
    <w:p w14:paraId="2D141568">
      <w:pPr>
        <w:spacing w:line="360" w:lineRule="auto"/>
        <w:jc w:val="both"/>
        <w:rPr>
          <w:rFonts w:ascii="仿宋_GB2312" w:hAnsi="微软雅黑"/>
          <w:bCs/>
          <w:sz w:val="24"/>
          <w:szCs w:val="21"/>
          <w:highlight w:val="none"/>
        </w:rPr>
      </w:pPr>
      <w:r>
        <w:rPr>
          <w:rFonts w:hint="eastAsia" w:ascii="仿宋_GB2312" w:hAnsi="微软雅黑"/>
          <w:bCs/>
          <w:sz w:val="24"/>
          <w:szCs w:val="21"/>
          <w:highlight w:val="none"/>
        </w:rPr>
        <w:t>4.2.1在特殊情况下，采购人于原响应文件有效期满之前，可向服务机构提出延长响应文件有效期的要求。这种要求与答复应采用信件、传真或邮件等方式。</w:t>
      </w:r>
    </w:p>
    <w:p w14:paraId="694478CA">
      <w:pPr>
        <w:spacing w:line="360" w:lineRule="auto"/>
        <w:jc w:val="both"/>
        <w:rPr>
          <w:rFonts w:ascii="仿宋_GB2312" w:hAnsi="微软雅黑"/>
          <w:bCs/>
          <w:sz w:val="24"/>
          <w:szCs w:val="21"/>
          <w:highlight w:val="none"/>
        </w:rPr>
      </w:pPr>
      <w:r>
        <w:rPr>
          <w:rFonts w:hint="eastAsia" w:ascii="仿宋_GB2312" w:hAnsi="微软雅黑"/>
          <w:bCs/>
          <w:sz w:val="24"/>
          <w:szCs w:val="21"/>
          <w:highlight w:val="none"/>
        </w:rPr>
        <w:t>4.2.2服务机构可以拒绝采购人的这种要求撤回响应文件。同意延长的服务机构既不能要求也不允许修改其响应文件。</w:t>
      </w:r>
    </w:p>
    <w:p w14:paraId="7B46C683">
      <w:pPr>
        <w:spacing w:line="360" w:lineRule="auto"/>
        <w:outlineLvl w:val="1"/>
        <w:rPr>
          <w:rFonts w:ascii="仿宋_GB2312" w:hAnsi="微软雅黑"/>
          <w:b/>
          <w:bCs/>
          <w:sz w:val="24"/>
          <w:szCs w:val="21"/>
          <w:highlight w:val="none"/>
        </w:rPr>
      </w:pPr>
      <w:bookmarkStart w:id="43" w:name="_Toc32346"/>
      <w:bookmarkStart w:id="44" w:name="_Toc83393206"/>
      <w:bookmarkStart w:id="45" w:name="_Toc435621722"/>
      <w:bookmarkStart w:id="46" w:name="_Toc9696"/>
      <w:bookmarkStart w:id="47" w:name="_Toc2879"/>
      <w:r>
        <w:rPr>
          <w:rFonts w:hint="eastAsia" w:ascii="仿宋_GB2312" w:hAnsi="微软雅黑"/>
          <w:b/>
          <w:bCs/>
          <w:sz w:val="24"/>
          <w:szCs w:val="21"/>
          <w:highlight w:val="none"/>
        </w:rPr>
        <w:t>5.响应文件</w:t>
      </w:r>
      <w:bookmarkEnd w:id="43"/>
      <w:bookmarkEnd w:id="44"/>
      <w:bookmarkEnd w:id="45"/>
      <w:bookmarkEnd w:id="46"/>
      <w:bookmarkEnd w:id="47"/>
    </w:p>
    <w:p w14:paraId="02E4A1ED">
      <w:pPr>
        <w:spacing w:line="360" w:lineRule="auto"/>
        <w:outlineLvl w:val="2"/>
        <w:rPr>
          <w:rFonts w:ascii="仿宋_GB2312" w:hAnsi="微软雅黑"/>
          <w:b/>
          <w:bCs/>
          <w:sz w:val="24"/>
          <w:szCs w:val="21"/>
          <w:highlight w:val="none"/>
        </w:rPr>
      </w:pPr>
      <w:bookmarkStart w:id="48" w:name="_Toc3552"/>
      <w:bookmarkStart w:id="49" w:name="_Toc83393207"/>
      <w:bookmarkStart w:id="50" w:name="_Toc435621723"/>
      <w:r>
        <w:rPr>
          <w:rFonts w:hint="eastAsia" w:ascii="仿宋_GB2312" w:hAnsi="微软雅黑"/>
          <w:b/>
          <w:bCs/>
          <w:sz w:val="24"/>
          <w:szCs w:val="21"/>
          <w:highlight w:val="none"/>
        </w:rPr>
        <w:t>5.1响应文件的组成</w:t>
      </w:r>
      <w:bookmarkEnd w:id="48"/>
      <w:bookmarkEnd w:id="49"/>
      <w:bookmarkEnd w:id="50"/>
    </w:p>
    <w:p w14:paraId="148E428D">
      <w:pPr>
        <w:spacing w:line="360" w:lineRule="auto"/>
        <w:ind w:firstLine="480" w:firstLineChars="200"/>
        <w:rPr>
          <w:rFonts w:ascii="仿宋_GB2312" w:hAnsi="微软雅黑"/>
          <w:sz w:val="24"/>
          <w:szCs w:val="21"/>
          <w:highlight w:val="none"/>
          <w:u w:val="single"/>
        </w:rPr>
      </w:pPr>
      <w:r>
        <w:rPr>
          <w:rFonts w:hint="eastAsia" w:ascii="仿宋_GB2312" w:hAnsi="微软雅黑"/>
          <w:sz w:val="24"/>
          <w:szCs w:val="21"/>
          <w:highlight w:val="none"/>
          <w:u w:val="single"/>
        </w:rPr>
        <w:t>响应文件由商务、技术、价格三部分组成，具体内容见下方列示。如有缺少，将视为无效响应文件。请按以下顺序编写：</w:t>
      </w:r>
    </w:p>
    <w:p w14:paraId="7CC4BF76">
      <w:pPr>
        <w:spacing w:line="360" w:lineRule="exact"/>
        <w:ind w:firstLine="482" w:firstLineChars="200"/>
        <w:rPr>
          <w:rFonts w:ascii="仿宋_GB2312" w:hAnsi="微软雅黑"/>
          <w:b/>
          <w:bCs/>
          <w:sz w:val="24"/>
          <w:szCs w:val="21"/>
          <w:highlight w:val="none"/>
        </w:rPr>
      </w:pPr>
      <w:r>
        <w:rPr>
          <w:rFonts w:hint="eastAsia" w:ascii="仿宋_GB2312" w:hAnsi="微软雅黑"/>
          <w:b/>
          <w:bCs/>
          <w:sz w:val="24"/>
          <w:szCs w:val="21"/>
          <w:highlight w:val="none"/>
        </w:rPr>
        <w:t>商务部分</w:t>
      </w:r>
    </w:p>
    <w:p w14:paraId="43DEBDE9">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一、封皮格式（附件1）</w:t>
      </w:r>
    </w:p>
    <w:p w14:paraId="26FAE716">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二、</w:t>
      </w:r>
      <w:r>
        <w:rPr>
          <w:rFonts w:hint="eastAsia" w:ascii="仿宋_GB2312" w:hAnsi="微软雅黑"/>
          <w:bCs/>
          <w:sz w:val="24"/>
          <w:szCs w:val="21"/>
          <w:highlight w:val="none"/>
          <w:lang w:eastAsia="zh-CN"/>
        </w:rPr>
        <w:t>询比</w:t>
      </w:r>
      <w:r>
        <w:rPr>
          <w:rFonts w:hint="eastAsia" w:ascii="仿宋_GB2312" w:hAnsi="微软雅黑"/>
          <w:bCs/>
          <w:sz w:val="24"/>
          <w:szCs w:val="21"/>
          <w:highlight w:val="none"/>
        </w:rPr>
        <w:t>响应函（附件2）</w:t>
      </w:r>
    </w:p>
    <w:p w14:paraId="7079FE77">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三、法定代表人授权委托书和身份证明（附件3）</w:t>
      </w:r>
    </w:p>
    <w:p w14:paraId="204E1824">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四、服务机构基本情况介绍（附件4）</w:t>
      </w:r>
    </w:p>
    <w:p w14:paraId="187AB6B0">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五、服务机构资格证明（附件5）</w:t>
      </w:r>
    </w:p>
    <w:p w14:paraId="610AE26D">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六、近三年（2023.1-2025.12）在经营活动中无重大违法记录的书面材料（附件6）</w:t>
      </w:r>
    </w:p>
    <w:p w14:paraId="711593EF">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七、近三年（</w:t>
      </w:r>
      <w:r>
        <w:rPr>
          <w:rFonts w:ascii="仿宋_GB2312" w:hAnsi="微软雅黑"/>
          <w:bCs/>
          <w:sz w:val="24"/>
          <w:szCs w:val="21"/>
          <w:highlight w:val="none"/>
        </w:rPr>
        <w:t>202</w:t>
      </w:r>
      <w:r>
        <w:rPr>
          <w:rFonts w:hint="eastAsia" w:ascii="仿宋_GB2312" w:hAnsi="微软雅黑"/>
          <w:bCs/>
          <w:sz w:val="24"/>
          <w:szCs w:val="21"/>
          <w:highlight w:val="none"/>
        </w:rPr>
        <w:t>3</w:t>
      </w:r>
      <w:r>
        <w:rPr>
          <w:rFonts w:ascii="仿宋_GB2312" w:hAnsi="微软雅黑"/>
          <w:bCs/>
          <w:sz w:val="24"/>
          <w:szCs w:val="21"/>
          <w:highlight w:val="none"/>
        </w:rPr>
        <w:t>.1-202</w:t>
      </w:r>
      <w:r>
        <w:rPr>
          <w:rFonts w:hint="eastAsia" w:ascii="仿宋_GB2312" w:hAnsi="微软雅黑"/>
          <w:bCs/>
          <w:sz w:val="24"/>
          <w:szCs w:val="21"/>
          <w:highlight w:val="none"/>
        </w:rPr>
        <w:t>5</w:t>
      </w:r>
      <w:r>
        <w:rPr>
          <w:rFonts w:ascii="仿宋_GB2312" w:hAnsi="微软雅黑"/>
          <w:bCs/>
          <w:sz w:val="24"/>
          <w:szCs w:val="21"/>
          <w:highlight w:val="none"/>
        </w:rPr>
        <w:t>.</w:t>
      </w:r>
      <w:r>
        <w:rPr>
          <w:rFonts w:hint="eastAsia" w:ascii="仿宋_GB2312" w:hAnsi="微软雅黑"/>
          <w:bCs/>
          <w:sz w:val="24"/>
          <w:szCs w:val="21"/>
          <w:highlight w:val="none"/>
        </w:rPr>
        <w:t>12</w:t>
      </w:r>
      <w:r>
        <w:rPr>
          <w:rFonts w:ascii="仿宋_GB2312" w:hAnsi="微软雅黑"/>
          <w:bCs/>
          <w:sz w:val="24"/>
          <w:szCs w:val="21"/>
          <w:highlight w:val="none"/>
        </w:rPr>
        <w:t>）未受过其他处罚的承诺函及证明材料</w:t>
      </w:r>
      <w:r>
        <w:rPr>
          <w:rFonts w:hint="eastAsia" w:ascii="仿宋_GB2312" w:hAnsi="微软雅黑"/>
          <w:bCs/>
          <w:sz w:val="24"/>
          <w:szCs w:val="21"/>
          <w:highlight w:val="none"/>
        </w:rPr>
        <w:t>（附件7）</w:t>
      </w:r>
    </w:p>
    <w:p w14:paraId="58BAEFAB">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八、反腐败承诺书（附件</w:t>
      </w:r>
      <w:r>
        <w:rPr>
          <w:rFonts w:ascii="仿宋_GB2312" w:hAnsi="微软雅黑"/>
          <w:bCs/>
          <w:sz w:val="24"/>
          <w:szCs w:val="21"/>
          <w:highlight w:val="none"/>
        </w:rPr>
        <w:t>8</w:t>
      </w:r>
      <w:r>
        <w:rPr>
          <w:rFonts w:hint="eastAsia" w:ascii="仿宋_GB2312" w:hAnsi="微软雅黑"/>
          <w:bCs/>
          <w:sz w:val="24"/>
          <w:szCs w:val="21"/>
          <w:highlight w:val="none"/>
        </w:rPr>
        <w:t>）</w:t>
      </w:r>
    </w:p>
    <w:p w14:paraId="2F525A8E">
      <w:pPr>
        <w:spacing w:line="360" w:lineRule="exact"/>
        <w:ind w:firstLine="482" w:firstLineChars="200"/>
        <w:rPr>
          <w:rFonts w:ascii="仿宋_GB2312" w:hAnsi="微软雅黑"/>
          <w:b/>
          <w:bCs/>
          <w:sz w:val="24"/>
          <w:szCs w:val="21"/>
          <w:highlight w:val="none"/>
        </w:rPr>
      </w:pPr>
      <w:r>
        <w:rPr>
          <w:rFonts w:hint="eastAsia" w:ascii="仿宋_GB2312" w:hAnsi="微软雅黑"/>
          <w:b/>
          <w:bCs/>
          <w:sz w:val="24"/>
          <w:szCs w:val="21"/>
          <w:highlight w:val="none"/>
        </w:rPr>
        <w:t>技术部分</w:t>
      </w:r>
    </w:p>
    <w:p w14:paraId="7F377A31">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九、项目经验（附件</w:t>
      </w:r>
      <w:r>
        <w:rPr>
          <w:rFonts w:ascii="仿宋_GB2312" w:hAnsi="微软雅黑"/>
          <w:bCs/>
          <w:sz w:val="24"/>
          <w:szCs w:val="21"/>
          <w:highlight w:val="none"/>
        </w:rPr>
        <w:t>9</w:t>
      </w:r>
      <w:r>
        <w:rPr>
          <w:rFonts w:hint="eastAsia" w:ascii="仿宋_GB2312" w:hAnsi="微软雅黑"/>
          <w:bCs/>
          <w:sz w:val="24"/>
          <w:szCs w:val="21"/>
          <w:highlight w:val="none"/>
        </w:rPr>
        <w:t>）</w:t>
      </w:r>
    </w:p>
    <w:p w14:paraId="51AD5CFE">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服务机构需列示近三年（</w:t>
      </w:r>
      <w:r>
        <w:rPr>
          <w:rFonts w:ascii="仿宋_GB2312" w:hAnsi="微软雅黑"/>
          <w:bCs/>
          <w:sz w:val="24"/>
          <w:szCs w:val="21"/>
          <w:highlight w:val="none"/>
        </w:rPr>
        <w:t>20</w:t>
      </w:r>
      <w:r>
        <w:rPr>
          <w:rFonts w:hint="eastAsia" w:ascii="仿宋_GB2312" w:hAnsi="微软雅黑"/>
          <w:bCs/>
          <w:sz w:val="24"/>
          <w:szCs w:val="21"/>
          <w:highlight w:val="none"/>
          <w:lang w:val="en-US" w:eastAsia="zh-CN"/>
        </w:rPr>
        <w:t>2</w:t>
      </w:r>
      <w:r>
        <w:rPr>
          <w:rFonts w:hint="eastAsia" w:ascii="仿宋_GB2312" w:hAnsi="微软雅黑"/>
          <w:bCs/>
          <w:sz w:val="24"/>
          <w:szCs w:val="21"/>
          <w:highlight w:val="none"/>
        </w:rPr>
        <w:t>3</w:t>
      </w:r>
      <w:r>
        <w:rPr>
          <w:rFonts w:ascii="仿宋_GB2312" w:hAnsi="微软雅黑"/>
          <w:bCs/>
          <w:sz w:val="24"/>
          <w:szCs w:val="21"/>
          <w:highlight w:val="none"/>
        </w:rPr>
        <w:t>.1-202</w:t>
      </w:r>
      <w:r>
        <w:rPr>
          <w:rFonts w:hint="eastAsia" w:ascii="仿宋_GB2312" w:hAnsi="微软雅黑"/>
          <w:bCs/>
          <w:sz w:val="24"/>
          <w:szCs w:val="21"/>
          <w:highlight w:val="none"/>
        </w:rPr>
        <w:t>5</w:t>
      </w:r>
      <w:r>
        <w:rPr>
          <w:rFonts w:ascii="仿宋_GB2312" w:hAnsi="微软雅黑"/>
          <w:bCs/>
          <w:sz w:val="24"/>
          <w:szCs w:val="21"/>
          <w:highlight w:val="none"/>
        </w:rPr>
        <w:t>.</w:t>
      </w:r>
      <w:r>
        <w:rPr>
          <w:rFonts w:hint="eastAsia" w:ascii="仿宋_GB2312" w:hAnsi="微软雅黑"/>
          <w:bCs/>
          <w:sz w:val="24"/>
          <w:szCs w:val="21"/>
          <w:highlight w:val="none"/>
        </w:rPr>
        <w:t>12</w:t>
      </w:r>
      <w:r>
        <w:rPr>
          <w:rFonts w:ascii="仿宋_GB2312" w:hAnsi="微软雅黑"/>
          <w:bCs/>
          <w:sz w:val="24"/>
          <w:szCs w:val="21"/>
          <w:highlight w:val="none"/>
        </w:rPr>
        <w:t>）承接的境外类似投资项目的</w:t>
      </w:r>
      <w:r>
        <w:rPr>
          <w:rFonts w:hint="eastAsia" w:ascii="仿宋_GB2312" w:hAnsi="微软雅黑"/>
          <w:bCs/>
          <w:sz w:val="24"/>
          <w:szCs w:val="21"/>
          <w:highlight w:val="none"/>
        </w:rPr>
        <w:t>评估案例，并附对应项目的合同首尾页（需体现出项目所在地）。</w:t>
      </w:r>
    </w:p>
    <w:p w14:paraId="3B9B9F00">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十、项目团队执业胜任能力情况（附件</w:t>
      </w:r>
      <w:r>
        <w:rPr>
          <w:rFonts w:ascii="仿宋_GB2312" w:hAnsi="微软雅黑"/>
          <w:bCs/>
          <w:sz w:val="24"/>
          <w:szCs w:val="21"/>
          <w:highlight w:val="none"/>
        </w:rPr>
        <w:t>10</w:t>
      </w:r>
      <w:r>
        <w:rPr>
          <w:rFonts w:hint="eastAsia" w:ascii="仿宋_GB2312" w:hAnsi="微软雅黑"/>
          <w:bCs/>
          <w:sz w:val="24"/>
          <w:szCs w:val="21"/>
          <w:highlight w:val="none"/>
        </w:rPr>
        <w:t>）</w:t>
      </w:r>
    </w:p>
    <w:p w14:paraId="608AEAB0">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项目团队情况，项目总负责人、项目现场负责人以及其他人员执业能力和境外尽调、评估经验等情况。</w:t>
      </w:r>
    </w:p>
    <w:p w14:paraId="32A14F16">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十一、服务方案（附件</w:t>
      </w:r>
      <w:r>
        <w:rPr>
          <w:rFonts w:ascii="仿宋_GB2312" w:hAnsi="微软雅黑"/>
          <w:bCs/>
          <w:sz w:val="24"/>
          <w:szCs w:val="21"/>
          <w:highlight w:val="none"/>
        </w:rPr>
        <w:t>11</w:t>
      </w:r>
      <w:r>
        <w:rPr>
          <w:rFonts w:hint="eastAsia" w:ascii="仿宋_GB2312" w:hAnsi="微软雅黑"/>
          <w:bCs/>
          <w:sz w:val="24"/>
          <w:szCs w:val="21"/>
          <w:highlight w:val="none"/>
        </w:rPr>
        <w:t>）</w:t>
      </w:r>
    </w:p>
    <w:p w14:paraId="116206B5">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包括但不限于：详细说明两阶段评估的实施程序、工作方法、时间及人员安排、项目进度的控制和质量的审核等具体措施。</w:t>
      </w:r>
    </w:p>
    <w:p w14:paraId="1EF47F9B">
      <w:pPr>
        <w:spacing w:line="360" w:lineRule="exact"/>
        <w:ind w:firstLine="482" w:firstLineChars="200"/>
        <w:rPr>
          <w:rFonts w:ascii="仿宋_GB2312" w:hAnsi="微软雅黑"/>
          <w:b/>
          <w:bCs/>
          <w:sz w:val="24"/>
          <w:szCs w:val="21"/>
          <w:highlight w:val="none"/>
        </w:rPr>
      </w:pPr>
      <w:r>
        <w:rPr>
          <w:rFonts w:hint="eastAsia" w:ascii="仿宋_GB2312" w:hAnsi="微软雅黑"/>
          <w:b/>
          <w:bCs/>
          <w:sz w:val="24"/>
          <w:szCs w:val="21"/>
          <w:highlight w:val="none"/>
        </w:rPr>
        <w:t>价格部分</w:t>
      </w:r>
    </w:p>
    <w:p w14:paraId="417D7F72">
      <w:pPr>
        <w:spacing w:line="360" w:lineRule="exact"/>
        <w:ind w:firstLine="480" w:firstLineChars="200"/>
        <w:rPr>
          <w:rFonts w:ascii="仿宋_GB2312" w:hAnsi="微软雅黑"/>
          <w:bCs/>
          <w:sz w:val="24"/>
          <w:szCs w:val="21"/>
          <w:highlight w:val="none"/>
        </w:rPr>
      </w:pPr>
      <w:r>
        <w:rPr>
          <w:rFonts w:hint="eastAsia" w:ascii="仿宋_GB2312" w:hAnsi="微软雅黑"/>
          <w:bCs/>
          <w:sz w:val="24"/>
          <w:szCs w:val="21"/>
          <w:highlight w:val="none"/>
        </w:rPr>
        <w:t>十二、报价一览表（附件</w:t>
      </w:r>
      <w:r>
        <w:rPr>
          <w:rFonts w:ascii="仿宋_GB2312" w:hAnsi="微软雅黑"/>
          <w:bCs/>
          <w:sz w:val="24"/>
          <w:szCs w:val="21"/>
          <w:highlight w:val="none"/>
        </w:rPr>
        <w:t>12</w:t>
      </w:r>
      <w:r>
        <w:rPr>
          <w:rFonts w:hint="eastAsia" w:ascii="仿宋_GB2312" w:hAnsi="微软雅黑"/>
          <w:bCs/>
          <w:sz w:val="24"/>
          <w:szCs w:val="21"/>
          <w:highlight w:val="none"/>
        </w:rPr>
        <w:t>）</w:t>
      </w:r>
    </w:p>
    <w:p w14:paraId="582BE022">
      <w:pPr>
        <w:spacing w:line="360" w:lineRule="auto"/>
        <w:outlineLvl w:val="2"/>
        <w:rPr>
          <w:rFonts w:ascii="仿宋_GB2312" w:hAnsi="微软雅黑"/>
          <w:b/>
          <w:bCs/>
          <w:sz w:val="24"/>
          <w:szCs w:val="21"/>
          <w:highlight w:val="none"/>
        </w:rPr>
      </w:pPr>
      <w:bookmarkStart w:id="51" w:name="_Toc83393208"/>
      <w:bookmarkStart w:id="52" w:name="_Toc23410"/>
      <w:bookmarkStart w:id="53" w:name="_Toc435621724"/>
      <w:r>
        <w:rPr>
          <w:rFonts w:hint="eastAsia" w:ascii="仿宋_GB2312" w:hAnsi="微软雅黑"/>
          <w:b/>
          <w:bCs/>
          <w:sz w:val="24"/>
          <w:szCs w:val="21"/>
          <w:highlight w:val="none"/>
        </w:rPr>
        <w:t>5.2报价要求</w:t>
      </w:r>
      <w:bookmarkEnd w:id="51"/>
      <w:bookmarkEnd w:id="52"/>
      <w:bookmarkEnd w:id="53"/>
    </w:p>
    <w:p w14:paraId="440FAF06">
      <w:pPr>
        <w:spacing w:line="360" w:lineRule="auto"/>
        <w:rPr>
          <w:rFonts w:ascii="仿宋_GB2312" w:hAnsi="微软雅黑"/>
          <w:bCs/>
          <w:sz w:val="24"/>
          <w:szCs w:val="21"/>
          <w:highlight w:val="none"/>
        </w:rPr>
      </w:pPr>
      <w:r>
        <w:rPr>
          <w:rFonts w:hint="eastAsia" w:ascii="仿宋_GB2312" w:hAnsi="微软雅黑"/>
          <w:bCs/>
          <w:sz w:val="24"/>
          <w:szCs w:val="21"/>
          <w:highlight w:val="none"/>
        </w:rPr>
        <w:t>5.2.</w:t>
      </w:r>
      <w:r>
        <w:rPr>
          <w:rFonts w:ascii="仿宋_GB2312" w:hAnsi="微软雅黑"/>
          <w:bCs/>
          <w:sz w:val="24"/>
          <w:szCs w:val="21"/>
          <w:highlight w:val="none"/>
        </w:rPr>
        <w:t>1</w:t>
      </w:r>
      <w:r>
        <w:rPr>
          <w:rFonts w:hint="eastAsia" w:ascii="仿宋_GB2312" w:hAnsi="微软雅黑"/>
          <w:bCs/>
          <w:sz w:val="24"/>
          <w:szCs w:val="21"/>
          <w:highlight w:val="none"/>
        </w:rPr>
        <w:t>报价应包括具体实施本项目两阶段的所有费用及税金（币种：人民币）。</w:t>
      </w:r>
    </w:p>
    <w:p w14:paraId="297488A2">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2</w:t>
      </w:r>
      <w:r>
        <w:rPr>
          <w:rFonts w:hint="eastAsia" w:ascii="仿宋_GB2312" w:hAnsi="微软雅黑"/>
          <w:sz w:val="24"/>
          <w:szCs w:val="21"/>
          <w:highlight w:val="none"/>
        </w:rPr>
        <w:t>.</w:t>
      </w:r>
      <w:r>
        <w:rPr>
          <w:rFonts w:ascii="仿宋_GB2312" w:hAnsi="微软雅黑"/>
          <w:sz w:val="24"/>
          <w:szCs w:val="21"/>
          <w:highlight w:val="none"/>
        </w:rPr>
        <w:t>2</w:t>
      </w:r>
      <w:r>
        <w:rPr>
          <w:rFonts w:hint="eastAsia" w:ascii="仿宋_GB2312" w:hAnsi="微软雅黑"/>
          <w:sz w:val="24"/>
          <w:szCs w:val="21"/>
          <w:highlight w:val="none"/>
        </w:rPr>
        <w:t>最高限价：人民币</w:t>
      </w:r>
      <w:r>
        <w:rPr>
          <w:rFonts w:hint="eastAsia" w:ascii="仿宋_GB2312" w:hAnsi="微软雅黑"/>
          <w:sz w:val="24"/>
          <w:szCs w:val="21"/>
          <w:highlight w:val="none"/>
          <w:lang w:val="en-US" w:eastAsia="zh-CN"/>
        </w:rPr>
        <w:t>90</w:t>
      </w:r>
      <w:r>
        <w:rPr>
          <w:rFonts w:hint="eastAsia" w:ascii="仿宋_GB2312" w:hAnsi="微软雅黑"/>
          <w:sz w:val="24"/>
          <w:szCs w:val="21"/>
          <w:highlight w:val="none"/>
        </w:rPr>
        <w:t>万元。</w:t>
      </w:r>
    </w:p>
    <w:p w14:paraId="4837E8D4">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2</w:t>
      </w:r>
      <w:r>
        <w:rPr>
          <w:rFonts w:hint="eastAsia" w:ascii="仿宋_GB2312" w:hAnsi="微软雅黑"/>
          <w:sz w:val="24"/>
          <w:szCs w:val="21"/>
          <w:highlight w:val="none"/>
        </w:rPr>
        <w:t>.</w:t>
      </w:r>
      <w:r>
        <w:rPr>
          <w:rFonts w:ascii="仿宋_GB2312" w:hAnsi="微软雅黑"/>
          <w:sz w:val="24"/>
          <w:szCs w:val="21"/>
          <w:highlight w:val="none"/>
        </w:rPr>
        <w:t>3</w:t>
      </w:r>
      <w:r>
        <w:rPr>
          <w:rFonts w:hint="eastAsia" w:ascii="仿宋_GB2312" w:hAnsi="微软雅黑"/>
          <w:sz w:val="24"/>
          <w:szCs w:val="21"/>
          <w:highlight w:val="none"/>
        </w:rPr>
        <w:t>报价要求：响应总报价不得高于本项目最高限价。</w:t>
      </w:r>
    </w:p>
    <w:p w14:paraId="53E21461">
      <w:pPr>
        <w:spacing w:line="360" w:lineRule="auto"/>
        <w:rPr>
          <w:rFonts w:ascii="仿宋_GB2312" w:hAnsi="微软雅黑"/>
          <w:bCs/>
          <w:sz w:val="24"/>
          <w:szCs w:val="21"/>
          <w:highlight w:val="none"/>
        </w:rPr>
      </w:pPr>
      <w:r>
        <w:rPr>
          <w:rFonts w:hint="eastAsia" w:ascii="仿宋_GB2312" w:hAnsi="微软雅黑"/>
          <w:bCs/>
          <w:sz w:val="24"/>
          <w:szCs w:val="21"/>
          <w:highlight w:val="none"/>
        </w:rPr>
        <w:t>5.2.</w:t>
      </w:r>
      <w:r>
        <w:rPr>
          <w:rFonts w:ascii="仿宋_GB2312" w:hAnsi="微软雅黑"/>
          <w:bCs/>
          <w:sz w:val="24"/>
          <w:szCs w:val="21"/>
          <w:highlight w:val="none"/>
        </w:rPr>
        <w:t>4</w:t>
      </w:r>
      <w:r>
        <w:rPr>
          <w:rFonts w:hint="eastAsia" w:ascii="仿宋_GB2312" w:hAnsi="微软雅黑"/>
          <w:bCs/>
          <w:sz w:val="24"/>
          <w:szCs w:val="21"/>
          <w:highlight w:val="none"/>
        </w:rPr>
        <w:t>应按采购文件第四部分“响应文件格式”的要求填写《报价一览表》。</w:t>
      </w:r>
    </w:p>
    <w:p w14:paraId="5B90B234">
      <w:pPr>
        <w:spacing w:line="360" w:lineRule="auto"/>
        <w:rPr>
          <w:rFonts w:ascii="仿宋_GB2312" w:hAnsi="微软雅黑"/>
          <w:sz w:val="24"/>
          <w:highlight w:val="none"/>
        </w:rPr>
      </w:pPr>
      <w:r>
        <w:rPr>
          <w:rFonts w:hint="eastAsia" w:ascii="仿宋_GB2312" w:hAnsi="微软雅黑"/>
          <w:sz w:val="24"/>
          <w:highlight w:val="none"/>
        </w:rPr>
        <w:t>5.2.</w:t>
      </w:r>
      <w:r>
        <w:rPr>
          <w:rFonts w:ascii="仿宋_GB2312" w:hAnsi="微软雅黑"/>
          <w:sz w:val="24"/>
          <w:highlight w:val="none"/>
        </w:rPr>
        <w:t>5</w:t>
      </w:r>
      <w:r>
        <w:rPr>
          <w:rFonts w:hint="eastAsia" w:ascii="仿宋_GB2312" w:hAnsi="微软雅黑"/>
          <w:bCs/>
          <w:sz w:val="24"/>
          <w:szCs w:val="21"/>
          <w:highlight w:val="none"/>
        </w:rPr>
        <w:t>应以人民币报价，</w:t>
      </w:r>
      <w:r>
        <w:rPr>
          <w:rFonts w:hint="eastAsia" w:ascii="仿宋_GB2312" w:hAnsi="微软雅黑"/>
          <w:sz w:val="24"/>
          <w:highlight w:val="none"/>
        </w:rPr>
        <w:t>报价有下列情况之一的，将被视为无效报价：</w:t>
      </w:r>
    </w:p>
    <w:p w14:paraId="1480653E">
      <w:pPr>
        <w:spacing w:line="360" w:lineRule="auto"/>
        <w:rPr>
          <w:rFonts w:ascii="仿宋_GB2312" w:hAnsi="微软雅黑"/>
          <w:sz w:val="24"/>
          <w:highlight w:val="none"/>
        </w:rPr>
      </w:pPr>
      <w:r>
        <w:rPr>
          <w:rFonts w:hint="eastAsia" w:ascii="仿宋_GB2312" w:hAnsi="微软雅黑"/>
          <w:sz w:val="24"/>
          <w:highlight w:val="none"/>
        </w:rPr>
        <w:t>（1）报价高于项目最高限价的；</w:t>
      </w:r>
    </w:p>
    <w:p w14:paraId="417E3B5C">
      <w:pPr>
        <w:spacing w:line="360" w:lineRule="auto"/>
        <w:rPr>
          <w:rFonts w:ascii="仿宋_GB2312" w:hAnsi="微软雅黑"/>
          <w:bCs/>
          <w:sz w:val="24"/>
          <w:szCs w:val="21"/>
          <w:highlight w:val="none"/>
        </w:rPr>
      </w:pPr>
      <w:r>
        <w:rPr>
          <w:rFonts w:hint="eastAsia" w:ascii="仿宋_GB2312" w:hAnsi="微软雅黑"/>
          <w:bCs/>
          <w:sz w:val="24"/>
          <w:szCs w:val="21"/>
          <w:highlight w:val="none"/>
        </w:rPr>
        <w:t>（</w:t>
      </w:r>
      <w:r>
        <w:rPr>
          <w:rFonts w:ascii="仿宋_GB2312" w:hAnsi="微软雅黑"/>
          <w:bCs/>
          <w:sz w:val="24"/>
          <w:szCs w:val="21"/>
          <w:highlight w:val="none"/>
        </w:rPr>
        <w:t>2</w:t>
      </w:r>
      <w:r>
        <w:rPr>
          <w:rFonts w:hint="eastAsia" w:ascii="仿宋_GB2312" w:hAnsi="微软雅黑"/>
          <w:bCs/>
          <w:sz w:val="24"/>
          <w:szCs w:val="21"/>
          <w:highlight w:val="none"/>
        </w:rPr>
        <w:t>）报价明显低于所需成本和费用、且不能提供有效证明或承诺的；</w:t>
      </w:r>
    </w:p>
    <w:p w14:paraId="103FE54D">
      <w:pPr>
        <w:spacing w:line="360" w:lineRule="auto"/>
        <w:rPr>
          <w:rFonts w:ascii="仿宋_GB2312" w:hAnsi="微软雅黑"/>
          <w:bCs/>
          <w:sz w:val="24"/>
          <w:szCs w:val="21"/>
          <w:highlight w:val="none"/>
        </w:rPr>
      </w:pPr>
      <w:r>
        <w:rPr>
          <w:rFonts w:hint="eastAsia" w:ascii="仿宋_GB2312" w:hAnsi="微软雅黑"/>
          <w:bCs/>
          <w:sz w:val="24"/>
          <w:szCs w:val="21"/>
          <w:highlight w:val="none"/>
        </w:rPr>
        <w:t>（</w:t>
      </w:r>
      <w:r>
        <w:rPr>
          <w:rFonts w:ascii="仿宋_GB2312" w:hAnsi="微软雅黑"/>
          <w:bCs/>
          <w:sz w:val="24"/>
          <w:szCs w:val="21"/>
          <w:highlight w:val="none"/>
        </w:rPr>
        <w:t>3</w:t>
      </w:r>
      <w:r>
        <w:rPr>
          <w:rFonts w:hint="eastAsia" w:ascii="仿宋_GB2312" w:hAnsi="微软雅黑"/>
          <w:bCs/>
          <w:sz w:val="24"/>
          <w:szCs w:val="21"/>
          <w:highlight w:val="none"/>
        </w:rPr>
        <w:t>）选择性报价或者有附加条件的报价。</w:t>
      </w:r>
    </w:p>
    <w:p w14:paraId="571B7A59">
      <w:pPr>
        <w:spacing w:line="360" w:lineRule="auto"/>
        <w:rPr>
          <w:rFonts w:ascii="仿宋_GB2312" w:hAnsi="微软雅黑"/>
          <w:sz w:val="24"/>
          <w:highlight w:val="none"/>
        </w:rPr>
      </w:pPr>
      <w:bookmarkStart w:id="54" w:name="_Toc435621725"/>
      <w:r>
        <w:rPr>
          <w:rFonts w:hint="eastAsia" w:ascii="仿宋_GB2312" w:hAnsi="微软雅黑"/>
          <w:b/>
          <w:bCs/>
          <w:sz w:val="24"/>
          <w:szCs w:val="21"/>
          <w:highlight w:val="none"/>
        </w:rPr>
        <w:t>5.3响应文件的编制</w:t>
      </w:r>
      <w:bookmarkEnd w:id="54"/>
    </w:p>
    <w:p w14:paraId="2E795883">
      <w:pPr>
        <w:spacing w:line="360" w:lineRule="auto"/>
        <w:rPr>
          <w:rFonts w:ascii="仿宋_GB2312" w:hAnsi="微软雅黑"/>
          <w:sz w:val="24"/>
          <w:szCs w:val="21"/>
          <w:highlight w:val="none"/>
        </w:rPr>
      </w:pPr>
      <w:r>
        <w:rPr>
          <w:rFonts w:hint="eastAsia" w:ascii="仿宋_GB2312" w:hAnsi="微软雅黑"/>
          <w:sz w:val="24"/>
          <w:szCs w:val="21"/>
          <w:highlight w:val="none"/>
        </w:rPr>
        <w:t>5.3.1服务机构递交的响应文件以及与有关响应的所有来往函电均应使用简体中文。</w:t>
      </w:r>
    </w:p>
    <w:p w14:paraId="5D405CEA">
      <w:pPr>
        <w:spacing w:line="360" w:lineRule="auto"/>
        <w:rPr>
          <w:rFonts w:ascii="仿宋_GB2312" w:hAnsi="微软雅黑"/>
          <w:sz w:val="24"/>
          <w:szCs w:val="21"/>
          <w:highlight w:val="none"/>
        </w:rPr>
      </w:pPr>
      <w:r>
        <w:rPr>
          <w:rFonts w:hint="eastAsia" w:ascii="仿宋_GB2312" w:hAnsi="微软雅黑"/>
          <w:sz w:val="24"/>
          <w:szCs w:val="21"/>
          <w:highlight w:val="none"/>
        </w:rPr>
        <w:t>5.3.2响应文件按要求的格式顺序编写，编制成一册，首页加目录。</w:t>
      </w:r>
    </w:p>
    <w:p w14:paraId="0B3C8F9D">
      <w:pPr>
        <w:spacing w:line="360" w:lineRule="auto"/>
        <w:rPr>
          <w:rFonts w:ascii="仿宋_GB2312" w:hAnsi="微软雅黑"/>
          <w:sz w:val="24"/>
          <w:szCs w:val="21"/>
          <w:highlight w:val="none"/>
        </w:rPr>
      </w:pPr>
      <w:r>
        <w:rPr>
          <w:rFonts w:hint="eastAsia" w:ascii="仿宋_GB2312" w:hAnsi="微软雅黑"/>
          <w:sz w:val="24"/>
          <w:szCs w:val="21"/>
          <w:highlight w:val="none"/>
        </w:rPr>
        <w:t>5.3.3响应文件</w:t>
      </w:r>
      <w:r>
        <w:rPr>
          <w:rFonts w:hint="eastAsia" w:ascii="仿宋_GB2312" w:hAnsi="微软雅黑"/>
          <w:sz w:val="24"/>
          <w:szCs w:val="21"/>
          <w:highlight w:val="none"/>
          <w:u w:val="single"/>
        </w:rPr>
        <w:t>盖章电子版扫描件一份</w:t>
      </w:r>
      <w:r>
        <w:rPr>
          <w:rFonts w:hint="eastAsia" w:ascii="仿宋_GB2312" w:hAnsi="微软雅黑"/>
          <w:sz w:val="24"/>
          <w:szCs w:val="21"/>
          <w:highlight w:val="none"/>
        </w:rPr>
        <w:t>。</w:t>
      </w:r>
    </w:p>
    <w:p w14:paraId="36CCDEAC">
      <w:pPr>
        <w:spacing w:line="360" w:lineRule="auto"/>
        <w:jc w:val="both"/>
        <w:rPr>
          <w:rFonts w:ascii="仿宋_GB2312" w:hAnsi="微软雅黑"/>
          <w:sz w:val="24"/>
          <w:szCs w:val="21"/>
          <w:highlight w:val="none"/>
        </w:rPr>
      </w:pPr>
      <w:r>
        <w:rPr>
          <w:rFonts w:hint="eastAsia" w:ascii="仿宋_GB2312" w:hAnsi="微软雅黑"/>
          <w:sz w:val="24"/>
          <w:szCs w:val="21"/>
          <w:highlight w:val="none"/>
        </w:rPr>
        <w:t>5.3.</w:t>
      </w:r>
      <w:r>
        <w:rPr>
          <w:rFonts w:ascii="仿宋_GB2312" w:hAnsi="微软雅黑"/>
          <w:sz w:val="24"/>
          <w:szCs w:val="21"/>
          <w:highlight w:val="none"/>
        </w:rPr>
        <w:t>4</w:t>
      </w:r>
      <w:r>
        <w:rPr>
          <w:rFonts w:hint="eastAsia" w:ascii="仿宋_GB2312" w:hAnsi="微软雅黑"/>
          <w:sz w:val="24"/>
          <w:szCs w:val="21"/>
          <w:highlight w:val="none"/>
        </w:rPr>
        <w:t>响应文件由服务机构的法定代表人或其委托代理人在</w:t>
      </w:r>
      <w:r>
        <w:rPr>
          <w:rFonts w:hint="eastAsia" w:ascii="仿宋_GB2312" w:hAnsi="微软雅黑"/>
          <w:sz w:val="24"/>
          <w:szCs w:val="21"/>
          <w:highlight w:val="none"/>
          <w:u w:val="single"/>
        </w:rPr>
        <w:t>指定的位置</w:t>
      </w:r>
      <w:r>
        <w:rPr>
          <w:rFonts w:hint="eastAsia" w:ascii="仿宋_GB2312" w:hAnsi="微软雅黑"/>
          <w:sz w:val="24"/>
          <w:szCs w:val="21"/>
          <w:highlight w:val="none"/>
        </w:rPr>
        <w:t>签字或加盖公章。响应文件未经法定代表人或其委托代理人签字和盖章，其响应将被否决。</w:t>
      </w:r>
    </w:p>
    <w:p w14:paraId="577B9301">
      <w:pPr>
        <w:tabs>
          <w:tab w:val="left" w:pos="709"/>
        </w:tabs>
        <w:spacing w:line="360" w:lineRule="auto"/>
        <w:jc w:val="both"/>
        <w:rPr>
          <w:rFonts w:ascii="仿宋_GB2312" w:hAnsi="微软雅黑"/>
          <w:sz w:val="24"/>
          <w:szCs w:val="21"/>
          <w:highlight w:val="none"/>
        </w:rPr>
      </w:pPr>
      <w:r>
        <w:rPr>
          <w:rFonts w:hint="eastAsia" w:ascii="仿宋_GB2312" w:hAnsi="微软雅黑"/>
          <w:sz w:val="24"/>
          <w:szCs w:val="21"/>
          <w:highlight w:val="none"/>
        </w:rPr>
        <w:t>5.3.</w:t>
      </w:r>
      <w:r>
        <w:rPr>
          <w:rFonts w:ascii="仿宋_GB2312" w:hAnsi="微软雅黑"/>
          <w:sz w:val="24"/>
          <w:szCs w:val="21"/>
          <w:highlight w:val="none"/>
        </w:rPr>
        <w:t>5</w:t>
      </w:r>
      <w:r>
        <w:rPr>
          <w:rFonts w:hint="eastAsia" w:ascii="仿宋_GB2312" w:hAnsi="微软雅黑"/>
          <w:sz w:val="24"/>
          <w:szCs w:val="21"/>
          <w:highlight w:val="none"/>
        </w:rPr>
        <w:t>响应文件应尽量避免涂改、行间插字或删除。如果出现上述情况，改动之处应加盖单位章或由服务机构的法定代表人或其委托代理人签字确认。</w:t>
      </w:r>
    </w:p>
    <w:bookmarkEnd w:id="9"/>
    <w:bookmarkEnd w:id="10"/>
    <w:bookmarkEnd w:id="11"/>
    <w:p w14:paraId="60FF53BD">
      <w:pPr>
        <w:spacing w:line="360" w:lineRule="auto"/>
        <w:outlineLvl w:val="2"/>
        <w:rPr>
          <w:rFonts w:ascii="仿宋_GB2312" w:hAnsi="微软雅黑"/>
          <w:b/>
          <w:bCs/>
          <w:sz w:val="24"/>
          <w:szCs w:val="21"/>
          <w:highlight w:val="none"/>
        </w:rPr>
      </w:pPr>
      <w:bookmarkStart w:id="55" w:name="_Toc14666"/>
      <w:bookmarkStart w:id="56" w:name="_Toc83393210"/>
      <w:bookmarkStart w:id="57" w:name="_Toc435621727"/>
      <w:r>
        <w:rPr>
          <w:rFonts w:hint="eastAsia" w:ascii="仿宋_GB2312" w:hAnsi="微软雅黑"/>
          <w:b/>
          <w:bCs/>
          <w:sz w:val="24"/>
          <w:szCs w:val="21"/>
          <w:highlight w:val="none"/>
        </w:rPr>
        <w:t>5.</w:t>
      </w:r>
      <w:r>
        <w:rPr>
          <w:rFonts w:ascii="仿宋_GB2312" w:hAnsi="微软雅黑"/>
          <w:b/>
          <w:bCs/>
          <w:sz w:val="24"/>
          <w:szCs w:val="21"/>
          <w:highlight w:val="none"/>
        </w:rPr>
        <w:t>4</w:t>
      </w:r>
      <w:r>
        <w:rPr>
          <w:rFonts w:hint="eastAsia" w:ascii="仿宋_GB2312" w:hAnsi="微软雅黑"/>
          <w:b/>
          <w:bCs/>
          <w:sz w:val="24"/>
          <w:szCs w:val="21"/>
          <w:highlight w:val="none"/>
        </w:rPr>
        <w:t>响应文件的递交</w:t>
      </w:r>
      <w:bookmarkEnd w:id="55"/>
      <w:bookmarkEnd w:id="56"/>
      <w:bookmarkEnd w:id="57"/>
    </w:p>
    <w:p w14:paraId="4C60FC21">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4</w:t>
      </w:r>
      <w:r>
        <w:rPr>
          <w:rFonts w:hint="eastAsia" w:ascii="仿宋_GB2312" w:hAnsi="微软雅黑"/>
          <w:sz w:val="24"/>
          <w:szCs w:val="21"/>
          <w:highlight w:val="none"/>
        </w:rPr>
        <w:t>.</w:t>
      </w:r>
      <w:r>
        <w:rPr>
          <w:rFonts w:ascii="仿宋_GB2312" w:hAnsi="微软雅黑"/>
          <w:sz w:val="24"/>
          <w:szCs w:val="21"/>
          <w:highlight w:val="none"/>
        </w:rPr>
        <w:t>1</w:t>
      </w:r>
      <w:r>
        <w:rPr>
          <w:rFonts w:hint="eastAsia" w:ascii="仿宋_GB2312" w:hAnsi="微软雅黑"/>
          <w:sz w:val="24"/>
          <w:szCs w:val="21"/>
          <w:highlight w:val="none"/>
        </w:rPr>
        <w:t>响应文件递交地点：中粮</w:t>
      </w:r>
      <w:r>
        <w:rPr>
          <w:rFonts w:ascii="仿宋_GB2312" w:hAnsi="微软雅黑"/>
          <w:sz w:val="24"/>
          <w:szCs w:val="21"/>
          <w:highlight w:val="none"/>
        </w:rPr>
        <w:t>E采供应链采购平台。</w:t>
      </w:r>
    </w:p>
    <w:p w14:paraId="1027C9FD">
      <w:pPr>
        <w:spacing w:line="360" w:lineRule="auto"/>
        <w:rPr>
          <w:rFonts w:ascii="仿宋_GB2312" w:hAnsi="微软雅黑"/>
          <w:b/>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4</w:t>
      </w:r>
      <w:r>
        <w:rPr>
          <w:rFonts w:hint="eastAsia" w:ascii="仿宋_GB2312" w:hAnsi="微软雅黑"/>
          <w:sz w:val="24"/>
          <w:szCs w:val="21"/>
          <w:highlight w:val="none"/>
        </w:rPr>
        <w:t>.</w:t>
      </w:r>
      <w:r>
        <w:rPr>
          <w:rFonts w:ascii="仿宋_GB2312" w:hAnsi="微软雅黑"/>
          <w:sz w:val="24"/>
          <w:szCs w:val="21"/>
          <w:highlight w:val="none"/>
        </w:rPr>
        <w:t>2</w:t>
      </w:r>
      <w:r>
        <w:rPr>
          <w:rFonts w:hint="eastAsia" w:ascii="仿宋_GB2312" w:hAnsi="微软雅黑"/>
          <w:sz w:val="24"/>
          <w:szCs w:val="21"/>
          <w:highlight w:val="none"/>
        </w:rPr>
        <w:t>截止时间：</w:t>
      </w:r>
      <w:r>
        <w:rPr>
          <w:rFonts w:hint="eastAsia" w:ascii="仿宋" w:hAnsi="仿宋" w:eastAsia="仿宋"/>
          <w:b/>
          <w:sz w:val="24"/>
          <w:szCs w:val="32"/>
          <w:highlight w:val="none"/>
          <w:lang w:val="en-US" w:eastAsia="zh-CN"/>
        </w:rPr>
        <w:t>2026</w:t>
      </w:r>
      <w:r>
        <w:rPr>
          <w:rFonts w:hint="eastAsia" w:ascii="仿宋" w:hAnsi="仿宋" w:eastAsia="仿宋"/>
          <w:b/>
          <w:sz w:val="24"/>
          <w:szCs w:val="32"/>
          <w:highlight w:val="none"/>
        </w:rPr>
        <w:t>年</w:t>
      </w:r>
      <w:r>
        <w:rPr>
          <w:rFonts w:hint="eastAsia" w:ascii="仿宋" w:hAnsi="仿宋" w:eastAsia="仿宋"/>
          <w:b/>
          <w:sz w:val="24"/>
          <w:szCs w:val="32"/>
          <w:highlight w:val="none"/>
          <w:lang w:val="en-US" w:eastAsia="zh-CN"/>
        </w:rPr>
        <w:t>01</w:t>
      </w:r>
      <w:r>
        <w:rPr>
          <w:rFonts w:hint="eastAsia" w:ascii="仿宋" w:hAnsi="仿宋" w:eastAsia="仿宋"/>
          <w:b/>
          <w:sz w:val="24"/>
          <w:szCs w:val="32"/>
          <w:highlight w:val="none"/>
        </w:rPr>
        <w:t>月</w:t>
      </w:r>
      <w:r>
        <w:rPr>
          <w:rFonts w:hint="eastAsia" w:ascii="仿宋" w:hAnsi="仿宋" w:eastAsia="仿宋"/>
          <w:b/>
          <w:sz w:val="24"/>
          <w:szCs w:val="32"/>
          <w:highlight w:val="none"/>
          <w:lang w:val="en-US" w:eastAsia="zh-CN"/>
        </w:rPr>
        <w:t>27</w:t>
      </w:r>
      <w:r>
        <w:rPr>
          <w:rFonts w:hint="eastAsia" w:ascii="仿宋" w:hAnsi="仿宋" w:eastAsia="仿宋"/>
          <w:b/>
          <w:sz w:val="24"/>
          <w:szCs w:val="32"/>
          <w:highlight w:val="none"/>
        </w:rPr>
        <w:t>日</w:t>
      </w:r>
      <w:r>
        <w:rPr>
          <w:rFonts w:hint="eastAsia" w:ascii="仿宋" w:hAnsi="仿宋" w:eastAsia="仿宋"/>
          <w:b/>
          <w:sz w:val="24"/>
          <w:szCs w:val="32"/>
          <w:highlight w:val="none"/>
          <w:lang w:val="en-US" w:eastAsia="zh-CN"/>
        </w:rPr>
        <w:t>12:00</w:t>
      </w:r>
      <w:r>
        <w:rPr>
          <w:rFonts w:hint="eastAsia" w:ascii="仿宋_GB2312" w:hAnsi="微软雅黑"/>
          <w:b/>
          <w:sz w:val="24"/>
          <w:szCs w:val="21"/>
          <w:highlight w:val="none"/>
        </w:rPr>
        <w:t>（北京时间）</w:t>
      </w:r>
    </w:p>
    <w:p w14:paraId="6842105E">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4</w:t>
      </w:r>
      <w:r>
        <w:rPr>
          <w:rFonts w:hint="eastAsia" w:ascii="仿宋_GB2312" w:hAnsi="微软雅黑"/>
          <w:sz w:val="24"/>
          <w:szCs w:val="21"/>
          <w:highlight w:val="none"/>
        </w:rPr>
        <w:t>.</w:t>
      </w:r>
      <w:r>
        <w:rPr>
          <w:rFonts w:ascii="仿宋_GB2312" w:hAnsi="微软雅黑"/>
          <w:sz w:val="24"/>
          <w:szCs w:val="21"/>
          <w:highlight w:val="none"/>
        </w:rPr>
        <w:t>3评审地点：中粮E采供应链采购平台。</w:t>
      </w:r>
    </w:p>
    <w:p w14:paraId="28F46B22">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4</w:t>
      </w:r>
      <w:r>
        <w:rPr>
          <w:rFonts w:hint="eastAsia" w:ascii="仿宋_GB2312" w:hAnsi="微软雅黑"/>
          <w:sz w:val="24"/>
          <w:szCs w:val="21"/>
          <w:highlight w:val="none"/>
        </w:rPr>
        <w:t>.</w:t>
      </w:r>
      <w:r>
        <w:rPr>
          <w:rFonts w:ascii="仿宋_GB2312" w:hAnsi="微软雅黑"/>
          <w:sz w:val="24"/>
          <w:szCs w:val="21"/>
          <w:highlight w:val="none"/>
        </w:rPr>
        <w:t>4</w:t>
      </w:r>
      <w:r>
        <w:rPr>
          <w:rFonts w:hint="eastAsia" w:ascii="仿宋_GB2312" w:hAnsi="微软雅黑"/>
          <w:sz w:val="24"/>
          <w:szCs w:val="21"/>
          <w:highlight w:val="none"/>
        </w:rPr>
        <w:t>评审时间：见</w:t>
      </w:r>
      <w:r>
        <w:rPr>
          <w:rFonts w:ascii="仿宋_GB2312" w:hAnsi="微软雅黑"/>
          <w:sz w:val="24"/>
          <w:szCs w:val="21"/>
          <w:highlight w:val="none"/>
        </w:rPr>
        <w:t>中粮E采供应链采购平台</w:t>
      </w:r>
      <w:r>
        <w:rPr>
          <w:rFonts w:hint="eastAsia" w:ascii="仿宋_GB2312" w:hAnsi="微软雅黑"/>
          <w:sz w:val="24"/>
          <w:szCs w:val="21"/>
          <w:highlight w:val="none"/>
        </w:rPr>
        <w:t>载明时间。</w:t>
      </w:r>
    </w:p>
    <w:p w14:paraId="341A4FF8">
      <w:pPr>
        <w:spacing w:line="360" w:lineRule="auto"/>
        <w:rPr>
          <w:rFonts w:ascii="仿宋_GB2312" w:hAnsi="微软雅黑"/>
          <w:sz w:val="24"/>
          <w:szCs w:val="21"/>
          <w:highlight w:val="none"/>
        </w:rPr>
      </w:pPr>
      <w:bookmarkStart w:id="58" w:name="_Toc488655849"/>
      <w:bookmarkStart w:id="59" w:name="_Toc107822504"/>
      <w:r>
        <w:rPr>
          <w:rFonts w:hint="eastAsia" w:ascii="仿宋_GB2312" w:hAnsi="微软雅黑"/>
          <w:sz w:val="24"/>
          <w:szCs w:val="21"/>
          <w:highlight w:val="none"/>
        </w:rPr>
        <w:t>5.</w:t>
      </w:r>
      <w:r>
        <w:rPr>
          <w:rFonts w:ascii="仿宋_GB2312" w:hAnsi="微软雅黑"/>
          <w:sz w:val="24"/>
          <w:szCs w:val="21"/>
          <w:highlight w:val="none"/>
        </w:rPr>
        <w:t>4</w:t>
      </w:r>
      <w:r>
        <w:rPr>
          <w:rFonts w:hint="eastAsia" w:ascii="仿宋_GB2312" w:hAnsi="微软雅黑"/>
          <w:sz w:val="24"/>
          <w:szCs w:val="21"/>
          <w:highlight w:val="none"/>
        </w:rPr>
        <w:t>.</w:t>
      </w:r>
      <w:r>
        <w:rPr>
          <w:rFonts w:ascii="仿宋_GB2312" w:hAnsi="微软雅黑"/>
          <w:sz w:val="24"/>
          <w:szCs w:val="21"/>
          <w:highlight w:val="none"/>
        </w:rPr>
        <w:t>5</w:t>
      </w:r>
      <w:r>
        <w:rPr>
          <w:rFonts w:hint="eastAsia" w:ascii="仿宋_GB2312" w:hAnsi="微软雅黑"/>
          <w:sz w:val="24"/>
          <w:szCs w:val="21"/>
          <w:highlight w:val="none"/>
        </w:rPr>
        <w:t>服务机构须在规定的截止时间前将响应文件按要求递交盖章版响应文件扫描件。</w:t>
      </w:r>
    </w:p>
    <w:bookmarkEnd w:id="58"/>
    <w:bookmarkEnd w:id="59"/>
    <w:p w14:paraId="19347C73">
      <w:pPr>
        <w:spacing w:line="360" w:lineRule="auto"/>
        <w:outlineLvl w:val="2"/>
        <w:rPr>
          <w:rFonts w:ascii="仿宋_GB2312" w:hAnsi="微软雅黑"/>
          <w:b/>
          <w:bCs/>
          <w:sz w:val="24"/>
          <w:szCs w:val="21"/>
          <w:highlight w:val="none"/>
        </w:rPr>
      </w:pPr>
      <w:bookmarkStart w:id="60" w:name="_Toc83393211"/>
      <w:bookmarkStart w:id="61" w:name="_Toc226969301"/>
      <w:bookmarkStart w:id="62" w:name="_Toc227057907"/>
      <w:bookmarkStart w:id="63" w:name="_Toc435621728"/>
      <w:bookmarkStart w:id="64" w:name="_Toc18857"/>
      <w:bookmarkStart w:id="65" w:name="_Toc488655850"/>
      <w:bookmarkStart w:id="66" w:name="_Toc107822505"/>
      <w:r>
        <w:rPr>
          <w:rFonts w:hint="eastAsia" w:ascii="仿宋_GB2312" w:hAnsi="微软雅黑"/>
          <w:b/>
          <w:bCs/>
          <w:sz w:val="24"/>
          <w:szCs w:val="21"/>
          <w:highlight w:val="none"/>
        </w:rPr>
        <w:t>5.</w:t>
      </w:r>
      <w:r>
        <w:rPr>
          <w:rFonts w:ascii="仿宋_GB2312" w:hAnsi="微软雅黑"/>
          <w:b/>
          <w:bCs/>
          <w:sz w:val="24"/>
          <w:szCs w:val="21"/>
          <w:highlight w:val="none"/>
        </w:rPr>
        <w:t>5</w:t>
      </w:r>
      <w:r>
        <w:rPr>
          <w:rFonts w:hint="eastAsia" w:ascii="仿宋_GB2312" w:hAnsi="微软雅黑"/>
          <w:b/>
          <w:bCs/>
          <w:sz w:val="24"/>
          <w:szCs w:val="21"/>
          <w:highlight w:val="none"/>
        </w:rPr>
        <w:t>响应文件修改和撤回</w:t>
      </w:r>
      <w:bookmarkEnd w:id="60"/>
      <w:bookmarkEnd w:id="61"/>
      <w:bookmarkEnd w:id="62"/>
      <w:bookmarkEnd w:id="63"/>
      <w:bookmarkEnd w:id="64"/>
      <w:bookmarkEnd w:id="65"/>
      <w:bookmarkEnd w:id="66"/>
    </w:p>
    <w:p w14:paraId="6E4E80D3">
      <w:pPr>
        <w:spacing w:line="360" w:lineRule="auto"/>
        <w:rPr>
          <w:rFonts w:ascii="仿宋_GB2312" w:hAnsi="微软雅黑"/>
          <w:sz w:val="24"/>
          <w:highlight w:val="none"/>
        </w:rPr>
      </w:pPr>
      <w:r>
        <w:rPr>
          <w:rFonts w:hint="eastAsia" w:ascii="仿宋_GB2312" w:hAnsi="微软雅黑"/>
          <w:sz w:val="24"/>
          <w:szCs w:val="21"/>
          <w:highlight w:val="none"/>
        </w:rPr>
        <w:t>5.</w:t>
      </w:r>
      <w:r>
        <w:rPr>
          <w:rFonts w:ascii="仿宋_GB2312" w:hAnsi="微软雅黑"/>
          <w:sz w:val="24"/>
          <w:szCs w:val="21"/>
          <w:highlight w:val="none"/>
        </w:rPr>
        <w:t>5</w:t>
      </w:r>
      <w:r>
        <w:rPr>
          <w:rFonts w:hint="eastAsia" w:ascii="仿宋_GB2312" w:hAnsi="微软雅黑"/>
          <w:sz w:val="24"/>
          <w:szCs w:val="21"/>
          <w:highlight w:val="none"/>
        </w:rPr>
        <w:t>.1服务机构递交响应文件以后，可在递交响应文件截止时间之前，向采购人递交修改或撤回其响应文件的书面要求并进行修改或撤回。在递交响应文件截止时间以后，不能更改和撤回响应文件。</w:t>
      </w:r>
    </w:p>
    <w:p w14:paraId="4E2FDA17">
      <w:pPr>
        <w:spacing w:line="360" w:lineRule="auto"/>
        <w:rPr>
          <w:rFonts w:ascii="仿宋_GB2312" w:hAnsi="微软雅黑"/>
          <w:sz w:val="24"/>
          <w:szCs w:val="21"/>
          <w:highlight w:val="none"/>
        </w:rPr>
      </w:pPr>
      <w:r>
        <w:rPr>
          <w:rFonts w:hint="eastAsia" w:ascii="仿宋_GB2312" w:hAnsi="微软雅黑"/>
          <w:sz w:val="24"/>
          <w:szCs w:val="21"/>
          <w:highlight w:val="none"/>
        </w:rPr>
        <w:t>5.</w:t>
      </w:r>
      <w:r>
        <w:rPr>
          <w:rFonts w:ascii="仿宋_GB2312" w:hAnsi="微软雅黑"/>
          <w:sz w:val="24"/>
          <w:szCs w:val="21"/>
          <w:highlight w:val="none"/>
        </w:rPr>
        <w:t>5</w:t>
      </w:r>
      <w:r>
        <w:rPr>
          <w:rFonts w:hint="eastAsia" w:ascii="仿宋_GB2312" w:hAnsi="微软雅黑"/>
          <w:sz w:val="24"/>
          <w:szCs w:val="21"/>
          <w:highlight w:val="none"/>
        </w:rPr>
        <w:t>.2修改或撤回后重新递交的响应文件，应按本须知第5.4和5.5的规定编制、密封、标志和递交。</w:t>
      </w:r>
    </w:p>
    <w:p w14:paraId="52C053DA">
      <w:pPr>
        <w:spacing w:line="360" w:lineRule="auto"/>
        <w:outlineLvl w:val="1"/>
        <w:rPr>
          <w:rFonts w:ascii="仿宋_GB2312" w:hAnsi="微软雅黑"/>
          <w:b/>
          <w:bCs/>
          <w:sz w:val="24"/>
          <w:szCs w:val="21"/>
          <w:highlight w:val="none"/>
        </w:rPr>
      </w:pPr>
      <w:bookmarkStart w:id="67" w:name="_Toc435621729"/>
      <w:bookmarkStart w:id="68" w:name="_Toc16734"/>
      <w:bookmarkStart w:id="69" w:name="_Toc4250"/>
      <w:bookmarkStart w:id="70" w:name="_Toc83393212"/>
      <w:bookmarkStart w:id="71" w:name="_Toc23094"/>
      <w:r>
        <w:rPr>
          <w:rFonts w:hint="eastAsia" w:ascii="仿宋_GB2312" w:hAnsi="微软雅黑"/>
          <w:b/>
          <w:bCs/>
          <w:sz w:val="24"/>
          <w:szCs w:val="21"/>
          <w:highlight w:val="none"/>
        </w:rPr>
        <w:t>6.</w:t>
      </w:r>
      <w:r>
        <w:rPr>
          <w:rFonts w:hint="eastAsia" w:ascii="仿宋_GB2312" w:hAnsi="微软雅黑"/>
          <w:b/>
          <w:bCs/>
          <w:sz w:val="24"/>
          <w:szCs w:val="21"/>
          <w:highlight w:val="none"/>
          <w:lang w:eastAsia="zh-CN"/>
        </w:rPr>
        <w:t>询比</w:t>
      </w:r>
      <w:r>
        <w:rPr>
          <w:rFonts w:hint="eastAsia" w:ascii="仿宋_GB2312" w:hAnsi="微软雅黑"/>
          <w:b/>
          <w:bCs/>
          <w:sz w:val="24"/>
          <w:szCs w:val="21"/>
          <w:highlight w:val="none"/>
        </w:rPr>
        <w:t>和评审</w:t>
      </w:r>
      <w:bookmarkEnd w:id="67"/>
      <w:bookmarkEnd w:id="68"/>
      <w:bookmarkEnd w:id="69"/>
      <w:bookmarkEnd w:id="70"/>
      <w:bookmarkEnd w:id="71"/>
    </w:p>
    <w:p w14:paraId="2C382885">
      <w:pPr>
        <w:spacing w:line="360" w:lineRule="auto"/>
        <w:outlineLvl w:val="2"/>
        <w:rPr>
          <w:rFonts w:ascii="仿宋_GB2312" w:hAnsi="微软雅黑"/>
          <w:b/>
          <w:bCs/>
          <w:sz w:val="24"/>
          <w:szCs w:val="21"/>
          <w:highlight w:val="none"/>
        </w:rPr>
      </w:pPr>
      <w:bookmarkStart w:id="72" w:name="_Toc328"/>
      <w:bookmarkStart w:id="73" w:name="_Toc435621730"/>
      <w:bookmarkStart w:id="74" w:name="_Toc83393213"/>
      <w:r>
        <w:rPr>
          <w:rFonts w:hint="eastAsia" w:ascii="仿宋_GB2312" w:hAnsi="微软雅黑"/>
          <w:b/>
          <w:bCs/>
          <w:sz w:val="24"/>
          <w:szCs w:val="21"/>
          <w:highlight w:val="none"/>
        </w:rPr>
        <w:t>6.1回避原则</w:t>
      </w:r>
      <w:bookmarkEnd w:id="72"/>
      <w:bookmarkEnd w:id="73"/>
      <w:bookmarkEnd w:id="74"/>
    </w:p>
    <w:p w14:paraId="76514AD6">
      <w:pPr>
        <w:spacing w:line="360" w:lineRule="auto"/>
        <w:ind w:firstLine="480" w:firstLineChars="200"/>
        <w:rPr>
          <w:rFonts w:ascii="仿宋_GB2312" w:hAnsi="微软雅黑"/>
          <w:sz w:val="24"/>
          <w:szCs w:val="21"/>
          <w:highlight w:val="none"/>
        </w:rPr>
      </w:pPr>
      <w:r>
        <w:rPr>
          <w:rFonts w:hint="eastAsia" w:ascii="仿宋_GB2312" w:hAnsi="微软雅黑"/>
          <w:sz w:val="24"/>
          <w:szCs w:val="21"/>
          <w:highlight w:val="none"/>
        </w:rPr>
        <w:t>采购人及评审组成员与服务机构有利害关系的必须回避。服务机构认为采购人、现场工作人员与其他服务机构有利害关系的，可以申请其回避。</w:t>
      </w:r>
    </w:p>
    <w:p w14:paraId="1522D1BD">
      <w:pPr>
        <w:spacing w:line="360" w:lineRule="auto"/>
        <w:outlineLvl w:val="2"/>
        <w:rPr>
          <w:rFonts w:ascii="仿宋_GB2312" w:hAnsi="微软雅黑"/>
          <w:b/>
          <w:bCs/>
          <w:sz w:val="24"/>
          <w:szCs w:val="21"/>
          <w:highlight w:val="none"/>
        </w:rPr>
      </w:pPr>
      <w:bookmarkStart w:id="75" w:name="_Toc83393215"/>
      <w:bookmarkStart w:id="76" w:name="_Toc435621732"/>
      <w:bookmarkStart w:id="77" w:name="_Toc16489"/>
      <w:r>
        <w:rPr>
          <w:rFonts w:hint="eastAsia" w:ascii="仿宋_GB2312" w:hAnsi="微软雅黑"/>
          <w:b/>
          <w:bCs/>
          <w:sz w:val="24"/>
          <w:szCs w:val="21"/>
          <w:highlight w:val="none"/>
        </w:rPr>
        <w:t>6.</w:t>
      </w:r>
      <w:r>
        <w:rPr>
          <w:rFonts w:ascii="仿宋_GB2312" w:hAnsi="微软雅黑"/>
          <w:b/>
          <w:bCs/>
          <w:sz w:val="24"/>
          <w:szCs w:val="21"/>
          <w:highlight w:val="none"/>
        </w:rPr>
        <w:t>2</w:t>
      </w:r>
      <w:r>
        <w:rPr>
          <w:rFonts w:hint="eastAsia" w:ascii="仿宋_GB2312" w:hAnsi="微软雅黑"/>
          <w:b/>
          <w:bCs/>
          <w:sz w:val="24"/>
          <w:szCs w:val="21"/>
          <w:highlight w:val="none"/>
        </w:rPr>
        <w:t>程序</w:t>
      </w:r>
      <w:bookmarkEnd w:id="75"/>
      <w:bookmarkEnd w:id="76"/>
      <w:bookmarkEnd w:id="77"/>
    </w:p>
    <w:p w14:paraId="0B4F8A60">
      <w:pPr>
        <w:spacing w:line="360" w:lineRule="auto"/>
        <w:rPr>
          <w:rFonts w:ascii="仿宋_GB2312" w:hAnsi="微软雅黑"/>
          <w:sz w:val="24"/>
          <w:szCs w:val="21"/>
          <w:highlight w:val="none"/>
        </w:rPr>
      </w:pPr>
      <w:r>
        <w:rPr>
          <w:rFonts w:hint="eastAsia" w:ascii="仿宋_GB2312" w:hAnsi="微软雅黑"/>
          <w:sz w:val="24"/>
          <w:szCs w:val="21"/>
          <w:highlight w:val="none"/>
        </w:rPr>
        <w:t>6.</w:t>
      </w:r>
      <w:r>
        <w:rPr>
          <w:rFonts w:ascii="仿宋_GB2312" w:hAnsi="微软雅黑"/>
          <w:sz w:val="24"/>
          <w:szCs w:val="21"/>
          <w:highlight w:val="none"/>
        </w:rPr>
        <w:t>2</w:t>
      </w:r>
      <w:r>
        <w:rPr>
          <w:rFonts w:hint="eastAsia" w:ascii="仿宋_GB2312" w:hAnsi="微软雅黑"/>
          <w:sz w:val="24"/>
          <w:szCs w:val="21"/>
          <w:highlight w:val="none"/>
        </w:rPr>
        <w:t>.1审核</w:t>
      </w:r>
    </w:p>
    <w:p w14:paraId="2E8FBFC3">
      <w:pPr>
        <w:spacing w:line="360" w:lineRule="auto"/>
        <w:ind w:firstLine="480" w:firstLineChars="200"/>
        <w:rPr>
          <w:rFonts w:ascii="仿宋_GB2312" w:hAnsi="微软雅黑"/>
          <w:sz w:val="24"/>
          <w:szCs w:val="21"/>
          <w:highlight w:val="none"/>
          <w:u w:val="single"/>
        </w:rPr>
      </w:pPr>
      <w:r>
        <w:rPr>
          <w:rFonts w:hint="eastAsia" w:ascii="仿宋_GB2312" w:hAnsi="微软雅黑"/>
          <w:sz w:val="24"/>
          <w:szCs w:val="21"/>
          <w:highlight w:val="none"/>
          <w:u w:val="single"/>
        </w:rPr>
        <w:t>审核重点包括以下内容：</w:t>
      </w:r>
    </w:p>
    <w:p w14:paraId="64DB8778">
      <w:pPr>
        <w:spacing w:line="360" w:lineRule="auto"/>
        <w:rPr>
          <w:rFonts w:ascii="仿宋_GB2312" w:hAnsi="微软雅黑"/>
          <w:sz w:val="24"/>
          <w:szCs w:val="21"/>
          <w:highlight w:val="none"/>
        </w:rPr>
      </w:pPr>
      <w:r>
        <w:rPr>
          <w:rFonts w:hint="eastAsia" w:ascii="仿宋_GB2312" w:hAnsi="微软雅黑"/>
          <w:sz w:val="24"/>
          <w:szCs w:val="21"/>
          <w:highlight w:val="none"/>
        </w:rPr>
        <w:t>（1）响应文件是否有效签署</w:t>
      </w:r>
    </w:p>
    <w:p w14:paraId="138F537D">
      <w:pPr>
        <w:spacing w:line="360" w:lineRule="auto"/>
        <w:rPr>
          <w:rFonts w:ascii="仿宋_GB2312" w:hAnsi="微软雅黑"/>
          <w:sz w:val="24"/>
          <w:szCs w:val="21"/>
          <w:highlight w:val="none"/>
        </w:rPr>
      </w:pPr>
      <w:r>
        <w:rPr>
          <w:rFonts w:hint="eastAsia" w:ascii="仿宋_GB2312" w:hAnsi="微软雅黑"/>
          <w:sz w:val="24"/>
          <w:szCs w:val="21"/>
          <w:highlight w:val="none"/>
        </w:rPr>
        <w:t>（2）响应文件有效期是否合格</w:t>
      </w:r>
    </w:p>
    <w:p w14:paraId="5176E7AE">
      <w:pPr>
        <w:spacing w:line="360" w:lineRule="auto"/>
        <w:rPr>
          <w:rFonts w:ascii="仿宋_GB2312" w:hAnsi="微软雅黑"/>
          <w:sz w:val="24"/>
          <w:szCs w:val="21"/>
          <w:highlight w:val="none"/>
        </w:rPr>
      </w:pPr>
      <w:r>
        <w:rPr>
          <w:rFonts w:hint="eastAsia" w:ascii="仿宋_GB2312" w:hAnsi="微软雅黑"/>
          <w:sz w:val="24"/>
          <w:szCs w:val="21"/>
          <w:highlight w:val="none"/>
        </w:rPr>
        <w:t>（3）服务机构法定代表人或其授权代表身份证原件与法人授权委托书是否一致</w:t>
      </w:r>
    </w:p>
    <w:p w14:paraId="0F085530">
      <w:pPr>
        <w:spacing w:line="360" w:lineRule="auto"/>
        <w:rPr>
          <w:rFonts w:ascii="仿宋_GB2312" w:hAnsi="微软雅黑"/>
          <w:sz w:val="24"/>
          <w:szCs w:val="21"/>
          <w:highlight w:val="none"/>
        </w:rPr>
      </w:pPr>
      <w:r>
        <w:rPr>
          <w:rFonts w:hint="eastAsia" w:ascii="仿宋_GB2312" w:hAnsi="微软雅黑"/>
          <w:sz w:val="24"/>
          <w:szCs w:val="21"/>
          <w:highlight w:val="none"/>
        </w:rPr>
        <w:t>（4）服务机构</w:t>
      </w:r>
      <w:r>
        <w:rPr>
          <w:rFonts w:hint="eastAsia" w:ascii="仿宋_GB2312" w:hAnsi="微软雅黑"/>
          <w:sz w:val="24"/>
          <w:szCs w:val="21"/>
          <w:highlight w:val="none"/>
          <w:lang w:eastAsia="zh-CN"/>
        </w:rPr>
        <w:t>询比</w:t>
      </w:r>
      <w:r>
        <w:rPr>
          <w:rFonts w:hint="eastAsia" w:ascii="仿宋_GB2312" w:hAnsi="微软雅黑"/>
          <w:sz w:val="24"/>
          <w:szCs w:val="21"/>
          <w:highlight w:val="none"/>
        </w:rPr>
        <w:t>响应函是否有效</w:t>
      </w:r>
    </w:p>
    <w:p w14:paraId="4FF5BD40">
      <w:pPr>
        <w:spacing w:line="360" w:lineRule="auto"/>
        <w:ind w:firstLine="480" w:firstLineChars="200"/>
        <w:rPr>
          <w:rFonts w:ascii="仿宋_GB2312" w:hAnsi="微软雅黑"/>
          <w:sz w:val="24"/>
          <w:szCs w:val="21"/>
          <w:highlight w:val="none"/>
        </w:rPr>
      </w:pPr>
      <w:r>
        <w:rPr>
          <w:rFonts w:hint="eastAsia" w:ascii="仿宋_GB2312" w:hAnsi="微软雅黑"/>
          <w:sz w:val="24"/>
          <w:szCs w:val="21"/>
          <w:highlight w:val="none"/>
        </w:rPr>
        <w:t>响应文件不符合上述四项审核标准之一的，或被拒绝参加</w:t>
      </w:r>
      <w:r>
        <w:rPr>
          <w:rFonts w:hint="eastAsia" w:ascii="仿宋_GB2312" w:hAnsi="微软雅黑"/>
          <w:sz w:val="24"/>
          <w:szCs w:val="21"/>
          <w:highlight w:val="none"/>
          <w:lang w:eastAsia="zh-CN"/>
        </w:rPr>
        <w:t>询比</w:t>
      </w:r>
      <w:r>
        <w:rPr>
          <w:rFonts w:hint="eastAsia" w:ascii="仿宋_GB2312" w:hAnsi="微软雅黑"/>
          <w:sz w:val="24"/>
          <w:szCs w:val="21"/>
          <w:highlight w:val="none"/>
        </w:rPr>
        <w:t>。</w:t>
      </w:r>
    </w:p>
    <w:p w14:paraId="75BC697E">
      <w:pPr>
        <w:spacing w:line="360" w:lineRule="auto"/>
        <w:rPr>
          <w:rFonts w:hint="eastAsia" w:ascii="仿宋_GB2312" w:hAnsi="微软雅黑" w:eastAsia="仿宋_GB2312"/>
          <w:sz w:val="24"/>
          <w:szCs w:val="21"/>
          <w:highlight w:val="none"/>
          <w:lang w:eastAsia="zh-CN"/>
        </w:rPr>
      </w:pPr>
      <w:r>
        <w:rPr>
          <w:rFonts w:hint="eastAsia" w:ascii="仿宋_GB2312" w:hAnsi="微软雅黑"/>
          <w:sz w:val="24"/>
          <w:szCs w:val="21"/>
          <w:highlight w:val="none"/>
        </w:rPr>
        <w:t>6.</w:t>
      </w:r>
      <w:r>
        <w:rPr>
          <w:rFonts w:ascii="仿宋_GB2312" w:hAnsi="微软雅黑"/>
          <w:sz w:val="24"/>
          <w:szCs w:val="21"/>
          <w:highlight w:val="none"/>
        </w:rPr>
        <w:t>2</w:t>
      </w:r>
      <w:r>
        <w:rPr>
          <w:rFonts w:hint="eastAsia" w:ascii="仿宋_GB2312" w:hAnsi="微软雅黑"/>
          <w:sz w:val="24"/>
          <w:szCs w:val="21"/>
          <w:highlight w:val="none"/>
        </w:rPr>
        <w:t>.2</w:t>
      </w:r>
      <w:r>
        <w:rPr>
          <w:rFonts w:hint="eastAsia" w:ascii="仿宋_GB2312" w:hAnsi="微软雅黑"/>
          <w:sz w:val="24"/>
          <w:szCs w:val="21"/>
          <w:highlight w:val="none"/>
          <w:lang w:eastAsia="zh-CN"/>
        </w:rPr>
        <w:t>询比</w:t>
      </w:r>
    </w:p>
    <w:p w14:paraId="406DDD9A">
      <w:pPr>
        <w:spacing w:line="360" w:lineRule="auto"/>
        <w:ind w:firstLine="480" w:firstLineChars="200"/>
        <w:rPr>
          <w:rFonts w:ascii="仿宋_GB2312" w:hAnsi="微软雅黑"/>
          <w:sz w:val="24"/>
          <w:szCs w:val="21"/>
          <w:highlight w:val="none"/>
        </w:rPr>
      </w:pPr>
      <w:r>
        <w:rPr>
          <w:rFonts w:hint="eastAsia" w:ascii="仿宋_GB2312" w:hAnsi="微软雅黑"/>
          <w:sz w:val="24"/>
          <w:szCs w:val="21"/>
          <w:highlight w:val="none"/>
          <w:lang w:eastAsia="zh-CN"/>
        </w:rPr>
        <w:t>询比</w:t>
      </w:r>
      <w:r>
        <w:rPr>
          <w:rFonts w:hint="eastAsia" w:ascii="仿宋_GB2312" w:hAnsi="微软雅黑"/>
          <w:sz w:val="24"/>
          <w:szCs w:val="21"/>
          <w:highlight w:val="none"/>
        </w:rPr>
        <w:t>过程中，如果采购人对采购文件的实质性内容作出变更，采购人将通知所有参加</w:t>
      </w:r>
      <w:r>
        <w:rPr>
          <w:rFonts w:hint="eastAsia" w:ascii="仿宋_GB2312" w:hAnsi="微软雅黑"/>
          <w:sz w:val="24"/>
          <w:szCs w:val="21"/>
          <w:highlight w:val="none"/>
          <w:lang w:eastAsia="zh-CN"/>
        </w:rPr>
        <w:t>询比</w:t>
      </w:r>
      <w:r>
        <w:rPr>
          <w:rFonts w:hint="eastAsia" w:ascii="仿宋_GB2312" w:hAnsi="微软雅黑"/>
          <w:sz w:val="24"/>
          <w:szCs w:val="21"/>
          <w:highlight w:val="none"/>
        </w:rPr>
        <w:t>的服务机构，使每个服务机构均有同等机会根据修改后的</w:t>
      </w:r>
      <w:r>
        <w:rPr>
          <w:rFonts w:hint="eastAsia" w:ascii="仿宋_GB2312" w:hAnsi="微软雅黑"/>
          <w:sz w:val="24"/>
          <w:szCs w:val="21"/>
          <w:highlight w:val="none"/>
          <w:lang w:eastAsia="zh-CN"/>
        </w:rPr>
        <w:t>询比</w:t>
      </w:r>
      <w:r>
        <w:rPr>
          <w:rFonts w:hint="eastAsia" w:ascii="仿宋_GB2312" w:hAnsi="微软雅黑"/>
          <w:sz w:val="24"/>
          <w:szCs w:val="21"/>
          <w:highlight w:val="none"/>
        </w:rPr>
        <w:t>条件提交新的响应文件。</w:t>
      </w:r>
    </w:p>
    <w:p w14:paraId="7446F8A2">
      <w:pPr>
        <w:spacing w:line="360" w:lineRule="auto"/>
        <w:rPr>
          <w:rFonts w:ascii="仿宋_GB2312" w:hAnsi="微软雅黑"/>
          <w:sz w:val="24"/>
          <w:szCs w:val="21"/>
          <w:highlight w:val="none"/>
        </w:rPr>
      </w:pPr>
      <w:bookmarkStart w:id="78" w:name="_Toc30438"/>
      <w:bookmarkStart w:id="79" w:name="_Toc435621733"/>
      <w:r>
        <w:rPr>
          <w:rFonts w:hint="eastAsia" w:ascii="仿宋_GB2312" w:hAnsi="微软雅黑"/>
          <w:sz w:val="24"/>
          <w:szCs w:val="21"/>
          <w:highlight w:val="none"/>
        </w:rPr>
        <w:t>6.</w:t>
      </w:r>
      <w:r>
        <w:rPr>
          <w:rFonts w:ascii="仿宋_GB2312" w:hAnsi="微软雅黑"/>
          <w:sz w:val="24"/>
          <w:szCs w:val="21"/>
          <w:highlight w:val="none"/>
        </w:rPr>
        <w:t>2</w:t>
      </w:r>
      <w:r>
        <w:rPr>
          <w:rFonts w:hint="eastAsia" w:ascii="仿宋_GB2312" w:hAnsi="微软雅黑"/>
          <w:sz w:val="24"/>
          <w:szCs w:val="21"/>
          <w:highlight w:val="none"/>
        </w:rPr>
        <w:t>.</w:t>
      </w:r>
      <w:r>
        <w:rPr>
          <w:rFonts w:ascii="仿宋_GB2312" w:hAnsi="微软雅黑"/>
          <w:sz w:val="24"/>
          <w:szCs w:val="21"/>
          <w:highlight w:val="none"/>
        </w:rPr>
        <w:t>3</w:t>
      </w:r>
      <w:r>
        <w:rPr>
          <w:rFonts w:hint="eastAsia" w:ascii="仿宋_GB2312" w:hAnsi="微软雅黑"/>
          <w:sz w:val="24"/>
          <w:szCs w:val="21"/>
          <w:highlight w:val="none"/>
        </w:rPr>
        <w:t>评审</w:t>
      </w:r>
      <w:bookmarkEnd w:id="78"/>
      <w:bookmarkEnd w:id="79"/>
    </w:p>
    <w:p w14:paraId="527812E8">
      <w:pPr>
        <w:spacing w:line="360" w:lineRule="auto"/>
        <w:ind w:firstLine="480" w:firstLineChars="200"/>
        <w:jc w:val="both"/>
        <w:rPr>
          <w:rFonts w:ascii="仿宋_GB2312" w:hAnsi="微软雅黑"/>
          <w:sz w:val="24"/>
          <w:szCs w:val="21"/>
          <w:highlight w:val="none"/>
        </w:rPr>
      </w:pPr>
      <w:r>
        <w:rPr>
          <w:rFonts w:hint="eastAsia" w:ascii="仿宋_GB2312" w:hAnsi="微软雅黑"/>
          <w:sz w:val="24"/>
          <w:szCs w:val="21"/>
          <w:highlight w:val="none"/>
        </w:rPr>
        <w:t>本项目采用综合评价法评审，满分100分，其中：商务部分</w:t>
      </w:r>
      <w:r>
        <w:rPr>
          <w:rFonts w:hint="eastAsia" w:ascii="仿宋_GB2312" w:hAnsi="微软雅黑"/>
          <w:sz w:val="24"/>
          <w:szCs w:val="21"/>
          <w:highlight w:val="none"/>
          <w:lang w:val="en-US" w:eastAsia="zh-CN"/>
        </w:rPr>
        <w:t>20</w:t>
      </w:r>
      <w:r>
        <w:rPr>
          <w:rFonts w:hint="eastAsia" w:ascii="仿宋_GB2312" w:hAnsi="微软雅黑"/>
          <w:sz w:val="24"/>
          <w:szCs w:val="21"/>
          <w:highlight w:val="none"/>
        </w:rPr>
        <w:t>分、技术部分</w:t>
      </w:r>
      <w:r>
        <w:rPr>
          <w:rFonts w:hint="eastAsia" w:ascii="仿宋_GB2312" w:hAnsi="微软雅黑"/>
          <w:sz w:val="24"/>
          <w:szCs w:val="21"/>
          <w:highlight w:val="none"/>
          <w:lang w:val="en-US" w:eastAsia="zh-CN"/>
        </w:rPr>
        <w:t>65</w:t>
      </w:r>
      <w:r>
        <w:rPr>
          <w:rFonts w:hint="eastAsia" w:ascii="仿宋_GB2312" w:hAnsi="微软雅黑"/>
          <w:sz w:val="24"/>
          <w:szCs w:val="21"/>
          <w:highlight w:val="none"/>
        </w:rPr>
        <w:t>分、价格部分</w:t>
      </w:r>
      <w:r>
        <w:rPr>
          <w:rFonts w:ascii="仿宋_GB2312" w:hAnsi="微软雅黑"/>
          <w:sz w:val="24"/>
          <w:szCs w:val="21"/>
          <w:highlight w:val="none"/>
        </w:rPr>
        <w:t>15</w:t>
      </w:r>
      <w:r>
        <w:rPr>
          <w:rFonts w:hint="eastAsia" w:ascii="仿宋_GB2312" w:hAnsi="微软雅黑"/>
          <w:sz w:val="24"/>
          <w:szCs w:val="21"/>
          <w:highlight w:val="none"/>
        </w:rPr>
        <w:t>分。评价因素主要包括公司资质、服务业绩，</w:t>
      </w:r>
      <w:r>
        <w:rPr>
          <w:rFonts w:hint="eastAsia" w:ascii="仿宋_GB2312" w:hAnsi="微软雅黑"/>
          <w:bCs/>
          <w:sz w:val="24"/>
          <w:szCs w:val="21"/>
          <w:highlight w:val="none"/>
        </w:rPr>
        <w:t>对本项目的理解和认识，服务方案，</w:t>
      </w:r>
      <w:r>
        <w:rPr>
          <w:rFonts w:hint="eastAsia" w:ascii="仿宋_GB2312" w:hAnsi="微软雅黑"/>
          <w:sz w:val="24"/>
          <w:szCs w:val="21"/>
          <w:highlight w:val="none"/>
        </w:rPr>
        <w:t>团队服务经验，服务</w:t>
      </w:r>
      <w:r>
        <w:rPr>
          <w:rFonts w:hint="eastAsia" w:ascii="仿宋_GB2312" w:hAnsi="微软雅黑"/>
          <w:bCs/>
          <w:sz w:val="24"/>
          <w:szCs w:val="21"/>
          <w:highlight w:val="none"/>
        </w:rPr>
        <w:t>说明，</w:t>
      </w:r>
      <w:r>
        <w:rPr>
          <w:rFonts w:hint="eastAsia" w:ascii="仿宋_GB2312" w:hAnsi="微软雅黑"/>
          <w:sz w:val="24"/>
          <w:szCs w:val="21"/>
          <w:highlight w:val="none"/>
        </w:rPr>
        <w:t>最终报价等。</w:t>
      </w:r>
    </w:p>
    <w:p w14:paraId="51E3B0E7">
      <w:pPr>
        <w:spacing w:line="360" w:lineRule="auto"/>
        <w:jc w:val="both"/>
        <w:rPr>
          <w:rFonts w:ascii="仿宋_GB2312" w:hAnsi="微软雅黑"/>
          <w:sz w:val="24"/>
          <w:szCs w:val="21"/>
          <w:highlight w:val="none"/>
        </w:rPr>
      </w:pPr>
      <w:r>
        <w:rPr>
          <w:rFonts w:hint="eastAsia" w:ascii="仿宋_GB2312" w:hAnsi="微软雅黑"/>
          <w:sz w:val="24"/>
          <w:szCs w:val="21"/>
          <w:highlight w:val="none"/>
        </w:rPr>
        <w:t>（1）根据各服务机构的响应文件、书面澄清承诺，首先对商务、技术部分进行打分。</w:t>
      </w:r>
    </w:p>
    <w:p w14:paraId="390482E5">
      <w:pPr>
        <w:spacing w:line="360" w:lineRule="auto"/>
        <w:jc w:val="both"/>
        <w:rPr>
          <w:rFonts w:ascii="仿宋_GB2312" w:hAnsi="微软雅黑"/>
          <w:sz w:val="24"/>
          <w:szCs w:val="21"/>
          <w:highlight w:val="none"/>
        </w:rPr>
      </w:pPr>
      <w:r>
        <w:rPr>
          <w:rFonts w:hint="eastAsia" w:ascii="仿宋_GB2312" w:hAnsi="微软雅黑"/>
          <w:sz w:val="24"/>
          <w:szCs w:val="21"/>
          <w:highlight w:val="none"/>
        </w:rPr>
        <w:t>（2）完成商务、技术评审后，评审组审核报价并确认无误后，对最终价格进行打分。</w:t>
      </w:r>
    </w:p>
    <w:p w14:paraId="33A4707E">
      <w:pPr>
        <w:spacing w:line="360" w:lineRule="auto"/>
        <w:jc w:val="both"/>
        <w:rPr>
          <w:rFonts w:ascii="仿宋_GB2312" w:hAnsi="微软雅黑"/>
          <w:sz w:val="24"/>
          <w:szCs w:val="21"/>
          <w:highlight w:val="none"/>
        </w:rPr>
      </w:pPr>
      <w:r>
        <w:rPr>
          <w:rFonts w:hint="eastAsia" w:ascii="仿宋_GB2312" w:hAnsi="微软雅黑"/>
          <w:sz w:val="24"/>
          <w:szCs w:val="21"/>
          <w:highlight w:val="none"/>
        </w:rPr>
        <w:t>（3）汇总打分结果，按照由高至低的顺序排出名次。若综合得分相同的（精确到小数点后两位），依照服务方案、价格、商务优先次序排序。</w:t>
      </w:r>
    </w:p>
    <w:p w14:paraId="15082775">
      <w:pPr>
        <w:spacing w:line="360" w:lineRule="auto"/>
        <w:jc w:val="both"/>
        <w:rPr>
          <w:rFonts w:ascii="仿宋_GB2312" w:hAnsi="微软雅黑"/>
          <w:sz w:val="24"/>
          <w:szCs w:val="21"/>
          <w:highlight w:val="none"/>
        </w:rPr>
      </w:pPr>
      <w:r>
        <w:rPr>
          <w:rFonts w:hint="eastAsia" w:ascii="仿宋_GB2312" w:hAnsi="微软雅黑"/>
          <w:sz w:val="24"/>
          <w:szCs w:val="21"/>
          <w:highlight w:val="none"/>
        </w:rPr>
        <w:t>（4）根据评审结果出具评审意见，推荐本项目中选服务机构。</w:t>
      </w:r>
    </w:p>
    <w:p w14:paraId="02B78A35">
      <w:pPr>
        <w:spacing w:line="360" w:lineRule="auto"/>
        <w:outlineLvl w:val="1"/>
        <w:rPr>
          <w:rFonts w:ascii="仿宋_GB2312" w:hAnsi="微软雅黑"/>
          <w:b/>
          <w:bCs/>
          <w:sz w:val="24"/>
          <w:szCs w:val="21"/>
          <w:highlight w:val="none"/>
        </w:rPr>
      </w:pPr>
      <w:bookmarkStart w:id="80" w:name="_Toc83393216"/>
      <w:bookmarkStart w:id="81" w:name="_Toc28142"/>
      <w:bookmarkStart w:id="82" w:name="_Toc10923"/>
      <w:bookmarkStart w:id="83" w:name="_Toc9215"/>
      <w:bookmarkStart w:id="84" w:name="_Toc435621734"/>
      <w:r>
        <w:rPr>
          <w:rFonts w:hint="eastAsia" w:ascii="仿宋_GB2312" w:hAnsi="微软雅黑"/>
          <w:b/>
          <w:bCs/>
          <w:sz w:val="24"/>
          <w:szCs w:val="21"/>
          <w:highlight w:val="none"/>
        </w:rPr>
        <w:t>7.中选通知</w:t>
      </w:r>
      <w:bookmarkEnd w:id="80"/>
      <w:bookmarkEnd w:id="81"/>
      <w:bookmarkEnd w:id="82"/>
      <w:bookmarkEnd w:id="83"/>
      <w:bookmarkEnd w:id="84"/>
    </w:p>
    <w:p w14:paraId="3C33A6C9">
      <w:pPr>
        <w:spacing w:line="360" w:lineRule="auto"/>
        <w:rPr>
          <w:rFonts w:ascii="仿宋_GB2312" w:hAnsi="微软雅黑"/>
          <w:sz w:val="24"/>
          <w:szCs w:val="21"/>
          <w:highlight w:val="none"/>
        </w:rPr>
      </w:pPr>
      <w:r>
        <w:rPr>
          <w:rFonts w:hint="eastAsia" w:ascii="仿宋_GB2312" w:hAnsi="微软雅黑"/>
          <w:sz w:val="24"/>
          <w:szCs w:val="21"/>
          <w:highlight w:val="none"/>
        </w:rPr>
        <w:t>7.1采购人将发布结果公告，对未中选的服务机构不做未中选原因的解释。</w:t>
      </w:r>
    </w:p>
    <w:p w14:paraId="37806352">
      <w:pPr>
        <w:spacing w:line="360" w:lineRule="auto"/>
        <w:outlineLvl w:val="1"/>
        <w:rPr>
          <w:rFonts w:ascii="仿宋_GB2312" w:hAnsi="微软雅黑"/>
          <w:b/>
          <w:bCs/>
          <w:sz w:val="24"/>
          <w:szCs w:val="21"/>
          <w:highlight w:val="none"/>
        </w:rPr>
      </w:pPr>
      <w:bookmarkStart w:id="85" w:name="_Toc20260"/>
      <w:bookmarkStart w:id="86" w:name="_Toc3318"/>
      <w:bookmarkStart w:id="87" w:name="_Toc9556"/>
      <w:bookmarkStart w:id="88" w:name="_Toc83393217"/>
      <w:bookmarkStart w:id="89" w:name="_Toc435621735"/>
      <w:r>
        <w:rPr>
          <w:rFonts w:hint="eastAsia" w:ascii="仿宋_GB2312" w:hAnsi="微软雅黑"/>
          <w:b/>
          <w:bCs/>
          <w:sz w:val="24"/>
          <w:szCs w:val="21"/>
          <w:highlight w:val="none"/>
        </w:rPr>
        <w:t>8.合同订立</w:t>
      </w:r>
      <w:bookmarkEnd w:id="85"/>
      <w:bookmarkEnd w:id="86"/>
      <w:bookmarkEnd w:id="87"/>
      <w:bookmarkEnd w:id="88"/>
      <w:bookmarkEnd w:id="89"/>
    </w:p>
    <w:p w14:paraId="0F51FAE2">
      <w:pPr>
        <w:spacing w:line="360" w:lineRule="auto"/>
        <w:jc w:val="both"/>
        <w:rPr>
          <w:rFonts w:ascii="仿宋_GB2312" w:hAnsi="微软雅黑"/>
          <w:sz w:val="24"/>
          <w:szCs w:val="21"/>
          <w:highlight w:val="none"/>
        </w:rPr>
      </w:pPr>
      <w:bookmarkStart w:id="90" w:name="_Toc355342597"/>
      <w:r>
        <w:rPr>
          <w:rFonts w:hint="eastAsia" w:ascii="仿宋_GB2312" w:hAnsi="微软雅黑"/>
          <w:sz w:val="24"/>
          <w:szCs w:val="21"/>
          <w:highlight w:val="none"/>
        </w:rPr>
        <w:t>8.1在授予合同前的任何时候，采购人仍有选择或拒绝所有</w:t>
      </w:r>
      <w:r>
        <w:rPr>
          <w:rFonts w:hint="eastAsia" w:ascii="仿宋_GB2312" w:hAnsi="微软雅黑"/>
          <w:sz w:val="24"/>
          <w:szCs w:val="21"/>
          <w:highlight w:val="none"/>
          <w:lang w:eastAsia="zh-CN"/>
        </w:rPr>
        <w:t>询比</w:t>
      </w:r>
      <w:r>
        <w:rPr>
          <w:rFonts w:hint="eastAsia" w:ascii="仿宋_GB2312" w:hAnsi="微软雅黑"/>
          <w:sz w:val="24"/>
          <w:szCs w:val="21"/>
          <w:highlight w:val="none"/>
        </w:rPr>
        <w:t>响应或取消采购过程的权力，且无须对所采取的行为说明原因。</w:t>
      </w:r>
    </w:p>
    <w:p w14:paraId="69BB1E3F">
      <w:pPr>
        <w:spacing w:line="360" w:lineRule="auto"/>
        <w:jc w:val="both"/>
        <w:rPr>
          <w:rFonts w:ascii="仿宋_GB2312" w:hAnsi="微软雅黑"/>
          <w:sz w:val="24"/>
          <w:szCs w:val="21"/>
          <w:highlight w:val="none"/>
        </w:rPr>
      </w:pPr>
      <w:r>
        <w:rPr>
          <w:rFonts w:hint="eastAsia" w:ascii="仿宋_GB2312" w:hAnsi="微软雅黑"/>
          <w:sz w:val="24"/>
          <w:szCs w:val="21"/>
          <w:highlight w:val="none"/>
        </w:rPr>
        <w:t>8.2中选服务机构因不可抗力或者自身原因不能签订合同的，采购人可以与排位在中选服务机构之后第一位的服务机构签订合同，以此类推。</w:t>
      </w:r>
    </w:p>
    <w:p w14:paraId="4E4E515B">
      <w:pPr>
        <w:spacing w:line="360" w:lineRule="auto"/>
        <w:jc w:val="both"/>
        <w:rPr>
          <w:rFonts w:ascii="仿宋_GB2312" w:hAnsi="微软雅黑"/>
          <w:sz w:val="24"/>
          <w:szCs w:val="21"/>
          <w:highlight w:val="none"/>
        </w:rPr>
      </w:pPr>
      <w:r>
        <w:rPr>
          <w:rFonts w:hint="eastAsia" w:ascii="仿宋_GB2312" w:hAnsi="微软雅黑"/>
          <w:sz w:val="24"/>
          <w:szCs w:val="21"/>
          <w:highlight w:val="none"/>
        </w:rPr>
        <w:t>8.3中选服务机构应当按照合同约定履行义务，完成项目。中选服务机构不得向他人转让或分包项目。</w:t>
      </w:r>
    </w:p>
    <w:p w14:paraId="021CE194">
      <w:pPr>
        <w:spacing w:line="360" w:lineRule="auto"/>
        <w:jc w:val="both"/>
        <w:rPr>
          <w:rFonts w:ascii="微软雅黑" w:hAnsi="微软雅黑" w:eastAsia="微软雅黑"/>
          <w:sz w:val="24"/>
          <w:szCs w:val="21"/>
          <w:highlight w:val="none"/>
        </w:rPr>
      </w:pPr>
      <w:r>
        <w:rPr>
          <w:rFonts w:hint="eastAsia" w:ascii="仿宋_GB2312" w:hAnsi="微软雅黑"/>
          <w:sz w:val="24"/>
          <w:szCs w:val="21"/>
          <w:highlight w:val="none"/>
        </w:rPr>
        <w:t>8.4合同经双方法人代表或授权代表签字并盖章后，即行生效。</w:t>
      </w:r>
    </w:p>
    <w:p w14:paraId="62F42730">
      <w:pPr>
        <w:spacing w:line="360" w:lineRule="auto"/>
        <w:rPr>
          <w:rFonts w:ascii="微软雅黑" w:hAnsi="微软雅黑" w:eastAsia="微软雅黑"/>
          <w:sz w:val="24"/>
          <w:szCs w:val="21"/>
          <w:highlight w:val="none"/>
        </w:rPr>
        <w:sectPr>
          <w:pgSz w:w="11906" w:h="16838"/>
          <w:pgMar w:top="1440" w:right="1800" w:bottom="1440" w:left="1800" w:header="964" w:footer="992" w:gutter="0"/>
          <w:pgNumType w:start="1"/>
          <w:cols w:space="720" w:num="1"/>
          <w:docGrid w:type="lines" w:linePitch="326" w:charSpace="0"/>
        </w:sectPr>
      </w:pPr>
    </w:p>
    <w:bookmarkEnd w:id="90"/>
    <w:p w14:paraId="3DDDEB14">
      <w:pPr>
        <w:pStyle w:val="9"/>
        <w:rPr>
          <w:rFonts w:ascii="方正小标宋简体" w:hAnsi="微软雅黑"/>
          <w:b w:val="0"/>
          <w:bCs w:val="0"/>
          <w:kern w:val="44"/>
          <w:highlight w:val="none"/>
        </w:rPr>
      </w:pPr>
      <w:bookmarkStart w:id="91" w:name="_Toc459820102"/>
      <w:bookmarkStart w:id="92" w:name="_Toc150371606"/>
      <w:bookmarkStart w:id="93" w:name="_Toc438626582"/>
      <w:bookmarkStart w:id="94" w:name="_Toc29136"/>
      <w:bookmarkStart w:id="95" w:name="_Toc83393219"/>
      <w:bookmarkStart w:id="96" w:name="_Toc86914070"/>
      <w:bookmarkStart w:id="97" w:name="_Toc86914332"/>
      <w:r>
        <w:rPr>
          <w:rFonts w:hint="eastAsia"/>
          <w:highlight w:val="none"/>
        </w:rPr>
        <w:t>第三部分响应文件格式</w:t>
      </w:r>
      <w:bookmarkEnd w:id="91"/>
      <w:bookmarkEnd w:id="92"/>
      <w:bookmarkEnd w:id="93"/>
      <w:bookmarkEnd w:id="94"/>
      <w:bookmarkEnd w:id="95"/>
      <w:bookmarkEnd w:id="96"/>
      <w:bookmarkEnd w:id="97"/>
    </w:p>
    <w:p w14:paraId="2686729B">
      <w:pPr>
        <w:spacing w:line="500" w:lineRule="exact"/>
        <w:ind w:firstLine="241" w:firstLineChars="100"/>
        <w:rPr>
          <w:rFonts w:ascii="仿宋_GB2312" w:hAnsi="微软雅黑"/>
          <w:b/>
          <w:bCs/>
          <w:sz w:val="24"/>
          <w:szCs w:val="21"/>
          <w:highlight w:val="none"/>
        </w:rPr>
      </w:pPr>
      <w:r>
        <w:rPr>
          <w:rFonts w:hint="eastAsia" w:ascii="仿宋_GB2312" w:hAnsi="微软雅黑"/>
          <w:b/>
          <w:bCs/>
          <w:sz w:val="24"/>
          <w:szCs w:val="21"/>
          <w:highlight w:val="none"/>
        </w:rPr>
        <w:t>服务机构的响应文件按下列顺序编写，并编制目录：</w:t>
      </w:r>
    </w:p>
    <w:p w14:paraId="4C25C29A">
      <w:pPr>
        <w:spacing w:line="500" w:lineRule="exact"/>
        <w:jc w:val="both"/>
        <w:rPr>
          <w:rFonts w:ascii="仿宋_GB2312" w:hAnsi="微软雅黑"/>
          <w:sz w:val="24"/>
          <w:szCs w:val="21"/>
          <w:highlight w:val="none"/>
        </w:rPr>
      </w:pPr>
      <w:r>
        <w:rPr>
          <w:rFonts w:hint="eastAsia" w:ascii="仿宋_GB2312" w:hAnsi="微软雅黑"/>
          <w:sz w:val="24"/>
          <w:szCs w:val="21"/>
          <w:highlight w:val="none"/>
        </w:rPr>
        <w:t>一、封皮格式</w:t>
      </w:r>
    </w:p>
    <w:p w14:paraId="46712FF1">
      <w:pPr>
        <w:spacing w:line="500" w:lineRule="exact"/>
        <w:jc w:val="both"/>
        <w:rPr>
          <w:rFonts w:ascii="仿宋_GB2312" w:hAnsi="微软雅黑"/>
          <w:sz w:val="24"/>
          <w:szCs w:val="21"/>
          <w:highlight w:val="none"/>
        </w:rPr>
      </w:pPr>
      <w:r>
        <w:rPr>
          <w:rFonts w:hint="eastAsia" w:ascii="仿宋_GB2312" w:hAnsi="微软雅黑"/>
          <w:sz w:val="24"/>
          <w:szCs w:val="21"/>
          <w:highlight w:val="none"/>
        </w:rPr>
        <w:t>二、</w:t>
      </w:r>
      <w:r>
        <w:rPr>
          <w:rFonts w:hint="eastAsia" w:ascii="仿宋_GB2312" w:hAnsi="微软雅黑"/>
          <w:sz w:val="24"/>
          <w:szCs w:val="21"/>
          <w:highlight w:val="none"/>
          <w:lang w:eastAsia="zh-CN"/>
        </w:rPr>
        <w:t>询比</w:t>
      </w:r>
      <w:r>
        <w:rPr>
          <w:rFonts w:hint="eastAsia" w:ascii="仿宋_GB2312" w:hAnsi="微软雅黑"/>
          <w:sz w:val="24"/>
          <w:szCs w:val="21"/>
          <w:highlight w:val="none"/>
        </w:rPr>
        <w:t>响应函</w:t>
      </w:r>
    </w:p>
    <w:p w14:paraId="10BCFEB8">
      <w:pPr>
        <w:spacing w:line="500" w:lineRule="exact"/>
        <w:jc w:val="both"/>
        <w:rPr>
          <w:rFonts w:ascii="仿宋_GB2312" w:hAnsi="微软雅黑"/>
          <w:sz w:val="24"/>
          <w:szCs w:val="21"/>
          <w:highlight w:val="none"/>
        </w:rPr>
      </w:pPr>
      <w:r>
        <w:rPr>
          <w:rFonts w:hint="eastAsia" w:ascii="仿宋_GB2312" w:hAnsi="微软雅黑"/>
          <w:sz w:val="24"/>
          <w:szCs w:val="21"/>
          <w:highlight w:val="none"/>
        </w:rPr>
        <w:t>三、法定代表人授权委托书和身份证明</w:t>
      </w:r>
    </w:p>
    <w:p w14:paraId="6E145D01">
      <w:pPr>
        <w:spacing w:line="500" w:lineRule="exact"/>
        <w:jc w:val="both"/>
        <w:rPr>
          <w:rFonts w:ascii="仿宋_GB2312" w:hAnsi="微软雅黑"/>
          <w:sz w:val="24"/>
          <w:szCs w:val="21"/>
          <w:highlight w:val="none"/>
        </w:rPr>
      </w:pPr>
      <w:r>
        <w:rPr>
          <w:rFonts w:hint="eastAsia" w:ascii="仿宋_GB2312" w:hAnsi="微软雅黑"/>
          <w:sz w:val="24"/>
          <w:szCs w:val="21"/>
          <w:highlight w:val="none"/>
        </w:rPr>
        <w:t>四、服务机构基本情况介绍</w:t>
      </w:r>
    </w:p>
    <w:p w14:paraId="7BA8FED8">
      <w:pPr>
        <w:spacing w:line="500" w:lineRule="exact"/>
        <w:jc w:val="both"/>
        <w:rPr>
          <w:rFonts w:ascii="仿宋_GB2312" w:hAnsi="微软雅黑"/>
          <w:sz w:val="24"/>
          <w:szCs w:val="21"/>
          <w:highlight w:val="none"/>
        </w:rPr>
      </w:pPr>
      <w:r>
        <w:rPr>
          <w:rFonts w:hint="eastAsia" w:ascii="仿宋_GB2312" w:hAnsi="微软雅黑"/>
          <w:sz w:val="24"/>
          <w:szCs w:val="21"/>
          <w:highlight w:val="none"/>
        </w:rPr>
        <w:t>五、服务机构资格证明</w:t>
      </w:r>
    </w:p>
    <w:p w14:paraId="34FF86B6">
      <w:pPr>
        <w:spacing w:line="500" w:lineRule="exact"/>
        <w:jc w:val="both"/>
        <w:rPr>
          <w:rFonts w:ascii="仿宋_GB2312" w:hAnsi="微软雅黑"/>
          <w:sz w:val="24"/>
          <w:szCs w:val="21"/>
          <w:highlight w:val="none"/>
        </w:rPr>
      </w:pPr>
      <w:r>
        <w:rPr>
          <w:rFonts w:hint="eastAsia" w:ascii="仿宋_GB2312" w:hAnsi="微软雅黑"/>
          <w:sz w:val="24"/>
          <w:szCs w:val="21"/>
          <w:highlight w:val="none"/>
        </w:rPr>
        <w:t>六、近三年（</w:t>
      </w:r>
      <w:r>
        <w:rPr>
          <w:rFonts w:ascii="仿宋_GB2312" w:hAnsi="微软雅黑"/>
          <w:sz w:val="24"/>
          <w:szCs w:val="21"/>
          <w:highlight w:val="none"/>
        </w:rPr>
        <w:t>202</w:t>
      </w:r>
      <w:r>
        <w:rPr>
          <w:rFonts w:hint="eastAsia" w:ascii="仿宋_GB2312" w:hAnsi="微软雅黑"/>
          <w:sz w:val="24"/>
          <w:szCs w:val="21"/>
          <w:highlight w:val="none"/>
        </w:rPr>
        <w:t>3</w:t>
      </w:r>
      <w:r>
        <w:rPr>
          <w:rFonts w:ascii="仿宋_GB2312" w:hAnsi="微软雅黑"/>
          <w:sz w:val="24"/>
          <w:szCs w:val="21"/>
          <w:highlight w:val="none"/>
        </w:rPr>
        <w:t>.1-202</w:t>
      </w:r>
      <w:r>
        <w:rPr>
          <w:rFonts w:hint="eastAsia" w:ascii="仿宋_GB2312" w:hAnsi="微软雅黑"/>
          <w:sz w:val="24"/>
          <w:szCs w:val="21"/>
          <w:highlight w:val="none"/>
        </w:rPr>
        <w:t>5</w:t>
      </w:r>
      <w:r>
        <w:rPr>
          <w:rFonts w:ascii="仿宋_GB2312" w:hAnsi="微软雅黑"/>
          <w:sz w:val="24"/>
          <w:szCs w:val="21"/>
          <w:highlight w:val="none"/>
        </w:rPr>
        <w:t>.</w:t>
      </w:r>
      <w:r>
        <w:rPr>
          <w:rFonts w:hint="eastAsia" w:ascii="仿宋_GB2312" w:hAnsi="微软雅黑"/>
          <w:sz w:val="24"/>
          <w:szCs w:val="21"/>
          <w:highlight w:val="none"/>
        </w:rPr>
        <w:t>12</w:t>
      </w:r>
      <w:r>
        <w:rPr>
          <w:rFonts w:ascii="仿宋_GB2312" w:hAnsi="微软雅黑"/>
          <w:sz w:val="24"/>
          <w:szCs w:val="21"/>
          <w:highlight w:val="none"/>
        </w:rPr>
        <w:t>）在经营活动中无重大违法记录的书面材料</w:t>
      </w:r>
    </w:p>
    <w:p w14:paraId="7A9C822C">
      <w:pPr>
        <w:spacing w:line="500" w:lineRule="exact"/>
        <w:jc w:val="both"/>
        <w:rPr>
          <w:rFonts w:ascii="仿宋_GB2312" w:hAnsi="微软雅黑"/>
          <w:sz w:val="24"/>
          <w:szCs w:val="21"/>
          <w:highlight w:val="none"/>
        </w:rPr>
      </w:pPr>
      <w:r>
        <w:rPr>
          <w:rFonts w:hint="eastAsia" w:ascii="仿宋_GB2312" w:hAnsi="微软雅黑"/>
          <w:sz w:val="24"/>
          <w:szCs w:val="21"/>
          <w:highlight w:val="none"/>
        </w:rPr>
        <w:t>七、近三年（</w:t>
      </w:r>
      <w:r>
        <w:rPr>
          <w:rFonts w:ascii="仿宋_GB2312" w:hAnsi="微软雅黑"/>
          <w:sz w:val="24"/>
          <w:szCs w:val="21"/>
          <w:highlight w:val="none"/>
        </w:rPr>
        <w:t>202</w:t>
      </w:r>
      <w:r>
        <w:rPr>
          <w:rFonts w:hint="eastAsia" w:ascii="仿宋_GB2312" w:hAnsi="微软雅黑"/>
          <w:sz w:val="24"/>
          <w:szCs w:val="21"/>
          <w:highlight w:val="none"/>
        </w:rPr>
        <w:t>3</w:t>
      </w:r>
      <w:r>
        <w:rPr>
          <w:rFonts w:ascii="仿宋_GB2312" w:hAnsi="微软雅黑"/>
          <w:sz w:val="24"/>
          <w:szCs w:val="21"/>
          <w:highlight w:val="none"/>
        </w:rPr>
        <w:t>.1-202</w:t>
      </w:r>
      <w:r>
        <w:rPr>
          <w:rFonts w:hint="eastAsia" w:ascii="仿宋_GB2312" w:hAnsi="微软雅黑"/>
          <w:sz w:val="24"/>
          <w:szCs w:val="21"/>
          <w:highlight w:val="none"/>
        </w:rPr>
        <w:t>5</w:t>
      </w:r>
      <w:r>
        <w:rPr>
          <w:rFonts w:ascii="仿宋_GB2312" w:hAnsi="微软雅黑"/>
          <w:sz w:val="24"/>
          <w:szCs w:val="21"/>
          <w:highlight w:val="none"/>
        </w:rPr>
        <w:t>.</w:t>
      </w:r>
      <w:r>
        <w:rPr>
          <w:rFonts w:hint="eastAsia" w:ascii="仿宋_GB2312" w:hAnsi="微软雅黑"/>
          <w:sz w:val="24"/>
          <w:szCs w:val="21"/>
          <w:highlight w:val="none"/>
        </w:rPr>
        <w:t>12）未受过其他处罚的承诺函及证明材料</w:t>
      </w:r>
    </w:p>
    <w:p w14:paraId="2E936A8A">
      <w:pPr>
        <w:spacing w:line="500" w:lineRule="exact"/>
        <w:jc w:val="both"/>
        <w:rPr>
          <w:rFonts w:ascii="仿宋_GB2312" w:hAnsi="微软雅黑"/>
          <w:sz w:val="24"/>
          <w:szCs w:val="21"/>
          <w:highlight w:val="none"/>
        </w:rPr>
      </w:pPr>
      <w:r>
        <w:rPr>
          <w:rFonts w:hint="eastAsia" w:ascii="仿宋_GB2312" w:hAnsi="微软雅黑"/>
          <w:sz w:val="24"/>
          <w:szCs w:val="21"/>
          <w:highlight w:val="none"/>
        </w:rPr>
        <w:t>八、反腐败承诺书</w:t>
      </w:r>
    </w:p>
    <w:p w14:paraId="43E2C94F">
      <w:pPr>
        <w:spacing w:line="500" w:lineRule="exact"/>
        <w:rPr>
          <w:rFonts w:ascii="仿宋_GB2312" w:hAnsi="微软雅黑"/>
          <w:sz w:val="24"/>
          <w:szCs w:val="21"/>
          <w:highlight w:val="none"/>
        </w:rPr>
      </w:pPr>
      <w:r>
        <w:rPr>
          <w:rFonts w:hint="eastAsia" w:ascii="仿宋_GB2312" w:hAnsi="微软雅黑"/>
          <w:sz w:val="24"/>
          <w:szCs w:val="21"/>
          <w:highlight w:val="none"/>
        </w:rPr>
        <w:t>九、项目经验</w:t>
      </w:r>
    </w:p>
    <w:p w14:paraId="543B627A">
      <w:pPr>
        <w:spacing w:line="500" w:lineRule="exact"/>
        <w:rPr>
          <w:rFonts w:ascii="仿宋_GB2312" w:hAnsi="微软雅黑"/>
          <w:sz w:val="24"/>
          <w:szCs w:val="21"/>
          <w:highlight w:val="none"/>
        </w:rPr>
      </w:pPr>
      <w:r>
        <w:rPr>
          <w:rFonts w:hint="eastAsia" w:ascii="仿宋_GB2312" w:hAnsi="微软雅黑"/>
          <w:sz w:val="24"/>
          <w:szCs w:val="21"/>
          <w:highlight w:val="none"/>
        </w:rPr>
        <w:t>十、项目团队执业胜任能力情况</w:t>
      </w:r>
    </w:p>
    <w:p w14:paraId="33415B5C">
      <w:pPr>
        <w:spacing w:line="500" w:lineRule="exact"/>
        <w:rPr>
          <w:rFonts w:ascii="仿宋_GB2312" w:hAnsi="微软雅黑"/>
          <w:sz w:val="24"/>
          <w:szCs w:val="21"/>
          <w:highlight w:val="none"/>
        </w:rPr>
      </w:pPr>
      <w:r>
        <w:rPr>
          <w:rFonts w:hint="eastAsia" w:ascii="仿宋_GB2312" w:hAnsi="微软雅黑"/>
          <w:sz w:val="24"/>
          <w:szCs w:val="21"/>
          <w:highlight w:val="none"/>
        </w:rPr>
        <w:t>十一、服务方案</w:t>
      </w:r>
    </w:p>
    <w:p w14:paraId="6FF10604">
      <w:pPr>
        <w:spacing w:line="500" w:lineRule="exact"/>
        <w:rPr>
          <w:rFonts w:ascii="仿宋_GB2312" w:hAnsi="微软雅黑"/>
          <w:sz w:val="24"/>
          <w:szCs w:val="21"/>
          <w:highlight w:val="none"/>
        </w:rPr>
      </w:pPr>
      <w:r>
        <w:rPr>
          <w:rFonts w:hint="eastAsia" w:ascii="仿宋_GB2312" w:hAnsi="微软雅黑"/>
          <w:sz w:val="24"/>
          <w:szCs w:val="21"/>
          <w:highlight w:val="none"/>
        </w:rPr>
        <w:t>十二、报价一览表</w:t>
      </w:r>
      <w:r>
        <w:rPr>
          <w:rFonts w:hint="eastAsia" w:ascii="微软雅黑" w:hAnsi="微软雅黑" w:eastAsia="微软雅黑"/>
          <w:bCs/>
          <w:szCs w:val="21"/>
          <w:highlight w:val="none"/>
        </w:rPr>
        <w:br w:type="page"/>
      </w:r>
      <w:bookmarkStart w:id="98" w:name="_Toc401040167"/>
      <w:bookmarkStart w:id="99" w:name="_Toc438626584"/>
      <w:bookmarkStart w:id="100" w:name="_Toc6513"/>
      <w:bookmarkStart w:id="101" w:name="_Toc400982071"/>
      <w:bookmarkStart w:id="102" w:name="_Toc83393220"/>
      <w:bookmarkStart w:id="103" w:name="_Toc413074236"/>
      <w:bookmarkStart w:id="104" w:name="_Toc3190"/>
      <w:bookmarkStart w:id="105" w:name="_Toc400981495"/>
      <w:r>
        <w:rPr>
          <w:rFonts w:hint="eastAsia" w:ascii="微软雅黑" w:hAnsi="微软雅黑" w:eastAsia="微软雅黑"/>
          <w:b/>
          <w:szCs w:val="21"/>
          <w:highlight w:val="none"/>
        </w:rPr>
        <w:t>附件1：封皮格式</w:t>
      </w:r>
      <w:bookmarkEnd w:id="98"/>
      <w:bookmarkEnd w:id="99"/>
      <w:bookmarkEnd w:id="100"/>
      <w:bookmarkEnd w:id="101"/>
      <w:bookmarkEnd w:id="102"/>
      <w:bookmarkEnd w:id="103"/>
      <w:bookmarkEnd w:id="104"/>
      <w:bookmarkEnd w:id="105"/>
    </w:p>
    <w:p w14:paraId="7F692692">
      <w:pPr>
        <w:spacing w:after="120"/>
        <w:jc w:val="center"/>
        <w:rPr>
          <w:rFonts w:ascii="微软雅黑" w:hAnsi="微软雅黑" w:eastAsia="微软雅黑" w:cs="新宋体"/>
          <w:b/>
          <w:sz w:val="36"/>
          <w:szCs w:val="36"/>
          <w:highlight w:val="none"/>
          <w:lang w:val="zh-CN"/>
        </w:rPr>
      </w:pPr>
    </w:p>
    <w:p w14:paraId="31AA08AB">
      <w:pPr>
        <w:spacing w:after="120"/>
        <w:jc w:val="center"/>
        <w:rPr>
          <w:rFonts w:ascii="微软雅黑" w:hAnsi="微软雅黑" w:eastAsia="微软雅黑" w:cs="新宋体"/>
          <w:b/>
          <w:sz w:val="36"/>
          <w:szCs w:val="36"/>
          <w:highlight w:val="none"/>
          <w:lang w:val="zh-CN"/>
        </w:rPr>
      </w:pPr>
      <w:r>
        <w:rPr>
          <w:rFonts w:hint="eastAsia" w:ascii="微软雅黑" w:hAnsi="微软雅黑" w:eastAsia="微软雅黑" w:cs="新宋体"/>
          <w:b/>
          <w:sz w:val="44"/>
          <w:szCs w:val="40"/>
          <w:highlight w:val="none"/>
          <w:lang w:val="zh-CN"/>
        </w:rPr>
        <w:t>响应文件</w:t>
      </w:r>
    </w:p>
    <w:p w14:paraId="63502B51">
      <w:pPr>
        <w:autoSpaceDE w:val="0"/>
        <w:autoSpaceDN w:val="0"/>
        <w:adjustRightInd w:val="0"/>
        <w:spacing w:after="190" w:afterLines="50" w:line="360" w:lineRule="auto"/>
        <w:rPr>
          <w:rFonts w:ascii="微软雅黑" w:hAnsi="微软雅黑" w:eastAsia="微软雅黑" w:cs="新宋体"/>
          <w:b/>
          <w:sz w:val="36"/>
          <w:szCs w:val="36"/>
          <w:highlight w:val="none"/>
          <w:lang w:val="zh-CN"/>
        </w:rPr>
      </w:pPr>
    </w:p>
    <w:p w14:paraId="0CA462E8">
      <w:pPr>
        <w:spacing w:after="120"/>
        <w:jc w:val="center"/>
        <w:rPr>
          <w:rFonts w:hint="eastAsia" w:ascii="微软雅黑" w:hAnsi="微软雅黑" w:eastAsia="微软雅黑" w:cs="新宋体"/>
          <w:b/>
          <w:sz w:val="36"/>
          <w:szCs w:val="36"/>
          <w:highlight w:val="none"/>
        </w:rPr>
      </w:pPr>
      <w:r>
        <w:rPr>
          <w:rFonts w:hint="eastAsia" w:ascii="微软雅黑" w:hAnsi="微软雅黑" w:eastAsia="微软雅黑" w:cs="新宋体"/>
          <w:b/>
          <w:sz w:val="36"/>
          <w:szCs w:val="36"/>
          <w:highlight w:val="none"/>
          <w:lang w:val="zh-CN"/>
        </w:rPr>
        <w:t>项目名称：福田公司对</w:t>
      </w:r>
      <w:r>
        <w:rPr>
          <w:rFonts w:hint="eastAsia" w:ascii="微软雅黑" w:hAnsi="微软雅黑" w:eastAsia="微软雅黑" w:cs="新宋体"/>
          <w:b/>
          <w:sz w:val="36"/>
          <w:szCs w:val="36"/>
          <w:highlight w:val="none"/>
        </w:rPr>
        <w:t>越南</w:t>
      </w:r>
      <w:r>
        <w:rPr>
          <w:rFonts w:hint="eastAsia" w:ascii="微软雅黑" w:hAnsi="微软雅黑" w:eastAsia="微软雅黑" w:cs="新宋体"/>
          <w:b/>
          <w:sz w:val="36"/>
          <w:szCs w:val="36"/>
          <w:highlight w:val="none"/>
          <w:lang w:eastAsia="zh-CN"/>
        </w:rPr>
        <w:t>A</w:t>
      </w:r>
      <w:r>
        <w:rPr>
          <w:rFonts w:ascii="微软雅黑" w:hAnsi="微软雅黑" w:eastAsia="微软雅黑" w:cs="新宋体"/>
          <w:b/>
          <w:sz w:val="36"/>
          <w:szCs w:val="36"/>
          <w:highlight w:val="none"/>
        </w:rPr>
        <w:t xml:space="preserve"> 与 </w:t>
      </w:r>
      <w:r>
        <w:rPr>
          <w:rFonts w:hint="eastAsia" w:ascii="微软雅黑" w:hAnsi="微软雅黑" w:eastAsia="微软雅黑" w:cs="新宋体"/>
          <w:b/>
          <w:sz w:val="36"/>
          <w:szCs w:val="36"/>
          <w:highlight w:val="none"/>
          <w:lang w:eastAsia="zh-CN"/>
        </w:rPr>
        <w:t>B</w:t>
      </w:r>
      <w:r>
        <w:rPr>
          <w:rFonts w:ascii="微软雅黑" w:hAnsi="微软雅黑" w:eastAsia="微软雅黑" w:cs="新宋体"/>
          <w:b/>
          <w:sz w:val="36"/>
          <w:szCs w:val="36"/>
          <w:highlight w:val="none"/>
        </w:rPr>
        <w:t xml:space="preserve"> </w:t>
      </w:r>
      <w:r>
        <w:rPr>
          <w:rFonts w:hint="eastAsia" w:ascii="微软雅黑" w:hAnsi="微软雅黑" w:eastAsia="微软雅黑" w:cs="新宋体"/>
          <w:b/>
          <w:sz w:val="36"/>
          <w:szCs w:val="36"/>
          <w:highlight w:val="none"/>
        </w:rPr>
        <w:t>公司</w:t>
      </w:r>
    </w:p>
    <w:p w14:paraId="46F58BA3">
      <w:pPr>
        <w:spacing w:after="120"/>
        <w:jc w:val="center"/>
        <w:rPr>
          <w:rFonts w:ascii="微软雅黑" w:hAnsi="微软雅黑" w:eastAsia="微软雅黑" w:cs="新宋体"/>
          <w:b/>
          <w:sz w:val="36"/>
          <w:szCs w:val="36"/>
          <w:highlight w:val="none"/>
        </w:rPr>
      </w:pPr>
      <w:r>
        <w:rPr>
          <w:rFonts w:ascii="微软雅黑" w:hAnsi="微软雅黑" w:eastAsia="微软雅黑" w:cs="新宋体"/>
          <w:b/>
          <w:sz w:val="36"/>
          <w:szCs w:val="36"/>
          <w:highlight w:val="none"/>
        </w:rPr>
        <w:t>资产及股权价值</w:t>
      </w:r>
      <w:r>
        <w:rPr>
          <w:rFonts w:hint="eastAsia" w:ascii="微软雅黑" w:hAnsi="微软雅黑" w:eastAsia="微软雅黑" w:cs="新宋体"/>
          <w:b/>
          <w:sz w:val="36"/>
          <w:szCs w:val="36"/>
          <w:highlight w:val="none"/>
          <w:lang w:val="zh-CN"/>
        </w:rPr>
        <w:t>评估服务</w:t>
      </w:r>
    </w:p>
    <w:p w14:paraId="3587E247">
      <w:pPr>
        <w:autoSpaceDE w:val="0"/>
        <w:autoSpaceDN w:val="0"/>
        <w:adjustRightInd w:val="0"/>
        <w:spacing w:after="190" w:afterLines="50" w:line="360" w:lineRule="auto"/>
        <w:jc w:val="center"/>
        <w:rPr>
          <w:rFonts w:ascii="微软雅黑" w:hAnsi="微软雅黑" w:eastAsia="微软雅黑"/>
          <w:sz w:val="36"/>
          <w:szCs w:val="36"/>
          <w:highlight w:val="none"/>
        </w:rPr>
      </w:pPr>
    </w:p>
    <w:p w14:paraId="21DD59B5">
      <w:pPr>
        <w:spacing w:before="762" w:beforeLines="200" w:after="190" w:afterLines="50" w:line="360" w:lineRule="auto"/>
        <w:jc w:val="center"/>
        <w:rPr>
          <w:rFonts w:ascii="微软雅黑" w:hAnsi="微软雅黑" w:eastAsia="微软雅黑"/>
          <w:b/>
          <w:bCs/>
          <w:sz w:val="32"/>
          <w:szCs w:val="32"/>
          <w:highlight w:val="none"/>
        </w:rPr>
      </w:pPr>
    </w:p>
    <w:p w14:paraId="5E485CFA">
      <w:pPr>
        <w:adjustRightInd w:val="0"/>
        <w:snapToGrid w:val="0"/>
        <w:spacing w:before="381" w:beforeLines="100" w:after="381" w:afterLines="100"/>
        <w:ind w:firstLine="280" w:firstLineChars="100"/>
        <w:rPr>
          <w:rFonts w:ascii="微软雅黑" w:hAnsi="微软雅黑" w:eastAsia="微软雅黑"/>
          <w:highlight w:val="none"/>
        </w:rPr>
      </w:pPr>
      <w:r>
        <w:rPr>
          <w:rFonts w:hint="eastAsia" w:ascii="微软雅黑" w:hAnsi="微软雅黑" w:eastAsia="微软雅黑"/>
          <w:highlight w:val="none"/>
        </w:rPr>
        <w:t>服务机构名称（盖公章）：</w:t>
      </w:r>
    </w:p>
    <w:p w14:paraId="0323A90F">
      <w:pPr>
        <w:adjustRightInd w:val="0"/>
        <w:snapToGrid w:val="0"/>
        <w:spacing w:before="381" w:beforeLines="100" w:after="381" w:afterLines="100"/>
        <w:ind w:firstLine="280" w:firstLineChars="100"/>
        <w:rPr>
          <w:rFonts w:ascii="微软雅黑" w:hAnsi="微软雅黑" w:eastAsia="微软雅黑"/>
          <w:highlight w:val="none"/>
        </w:rPr>
      </w:pPr>
      <w:r>
        <w:rPr>
          <w:rFonts w:hint="eastAsia" w:ascii="微软雅黑" w:hAnsi="微软雅黑" w:eastAsia="微软雅黑"/>
          <w:highlight w:val="none"/>
        </w:rPr>
        <w:t>服务机构授权代表签字：</w:t>
      </w:r>
    </w:p>
    <w:p w14:paraId="2345BF34">
      <w:pPr>
        <w:adjustRightInd w:val="0"/>
        <w:snapToGrid w:val="0"/>
        <w:spacing w:before="381" w:beforeLines="100" w:after="381" w:afterLines="100"/>
        <w:ind w:firstLine="280" w:firstLineChars="100"/>
        <w:rPr>
          <w:rFonts w:ascii="微软雅黑" w:hAnsi="微软雅黑" w:eastAsia="微软雅黑"/>
          <w:highlight w:val="none"/>
        </w:rPr>
      </w:pPr>
      <w:r>
        <w:rPr>
          <w:rFonts w:hint="eastAsia" w:ascii="微软雅黑" w:hAnsi="微软雅黑" w:eastAsia="微软雅黑"/>
          <w:highlight w:val="none"/>
        </w:rPr>
        <w:t>日期：</w:t>
      </w:r>
    </w:p>
    <w:p w14:paraId="60F21AC0">
      <w:pPr>
        <w:adjustRightInd w:val="0"/>
        <w:snapToGrid w:val="0"/>
        <w:spacing w:before="381" w:beforeLines="100" w:after="381" w:afterLines="100"/>
        <w:rPr>
          <w:rFonts w:ascii="微软雅黑" w:hAnsi="微软雅黑" w:eastAsia="微软雅黑"/>
          <w:highlight w:val="none"/>
        </w:rPr>
      </w:pPr>
    </w:p>
    <w:p w14:paraId="002AD846">
      <w:pPr>
        <w:adjustRightInd w:val="0"/>
        <w:snapToGrid w:val="0"/>
        <w:spacing w:before="381" w:beforeLines="100" w:after="381" w:afterLines="100"/>
        <w:jc w:val="center"/>
        <w:rPr>
          <w:rFonts w:ascii="微软雅黑" w:hAnsi="微软雅黑" w:eastAsia="微软雅黑"/>
          <w:highlight w:val="none"/>
          <w:u w:val="single"/>
        </w:rPr>
      </w:pPr>
    </w:p>
    <w:p w14:paraId="60B021C6">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b/>
          <w:szCs w:val="21"/>
          <w:highlight w:val="none"/>
        </w:rPr>
        <w:br w:type="page"/>
      </w:r>
      <w:bookmarkStart w:id="106" w:name="_Toc434589782"/>
      <w:bookmarkStart w:id="107" w:name="_Toc435621746"/>
      <w:bookmarkStart w:id="108" w:name="_Toc434830030"/>
      <w:bookmarkStart w:id="109" w:name="_Toc434413605"/>
      <w:bookmarkStart w:id="110" w:name="_Toc438626586"/>
      <w:bookmarkStart w:id="111" w:name="_Toc83393221"/>
      <w:bookmarkStart w:id="112" w:name="_Toc15480"/>
      <w:bookmarkStart w:id="113" w:name="_Toc7300"/>
      <w:r>
        <w:rPr>
          <w:rFonts w:hint="eastAsia" w:ascii="微软雅黑" w:hAnsi="微软雅黑" w:eastAsia="微软雅黑"/>
          <w:b/>
          <w:sz w:val="24"/>
          <w:szCs w:val="24"/>
          <w:highlight w:val="none"/>
        </w:rPr>
        <w:t>附件2</w:t>
      </w:r>
      <w:bookmarkEnd w:id="106"/>
      <w:bookmarkEnd w:id="107"/>
      <w:bookmarkEnd w:id="108"/>
      <w:bookmarkEnd w:id="109"/>
      <w:r>
        <w:rPr>
          <w:rFonts w:hint="eastAsia" w:ascii="微软雅黑" w:hAnsi="微软雅黑" w:eastAsia="微软雅黑"/>
          <w:b/>
          <w:sz w:val="24"/>
          <w:szCs w:val="24"/>
          <w:highlight w:val="none"/>
        </w:rPr>
        <w:t>：</w:t>
      </w:r>
      <w:r>
        <w:rPr>
          <w:rFonts w:hint="eastAsia" w:ascii="微软雅黑" w:hAnsi="微软雅黑" w:eastAsia="微软雅黑"/>
          <w:b/>
          <w:sz w:val="24"/>
          <w:szCs w:val="24"/>
          <w:highlight w:val="none"/>
          <w:lang w:eastAsia="zh-CN"/>
        </w:rPr>
        <w:t>询比</w:t>
      </w:r>
      <w:r>
        <w:rPr>
          <w:rFonts w:hint="eastAsia" w:ascii="微软雅黑" w:hAnsi="微软雅黑" w:eastAsia="微软雅黑"/>
          <w:b/>
          <w:sz w:val="24"/>
          <w:szCs w:val="24"/>
          <w:highlight w:val="none"/>
        </w:rPr>
        <w:t>响应函</w:t>
      </w:r>
      <w:bookmarkEnd w:id="110"/>
      <w:bookmarkEnd w:id="111"/>
      <w:bookmarkEnd w:id="112"/>
      <w:bookmarkEnd w:id="113"/>
    </w:p>
    <w:p w14:paraId="4615EE60">
      <w:pPr>
        <w:adjustRightInd w:val="0"/>
        <w:snapToGrid w:val="0"/>
        <w:spacing w:line="360" w:lineRule="auto"/>
        <w:jc w:val="center"/>
        <w:rPr>
          <w:rFonts w:ascii="微软雅黑" w:hAnsi="微软雅黑" w:eastAsia="微软雅黑"/>
          <w:b/>
          <w:bCs/>
          <w:sz w:val="24"/>
          <w:szCs w:val="24"/>
          <w:highlight w:val="none"/>
        </w:rPr>
      </w:pPr>
      <w:r>
        <w:rPr>
          <w:rFonts w:hint="eastAsia" w:ascii="微软雅黑" w:hAnsi="微软雅黑" w:eastAsia="微软雅黑"/>
          <w:b/>
          <w:bCs/>
          <w:sz w:val="24"/>
          <w:szCs w:val="24"/>
          <w:highlight w:val="none"/>
          <w:lang w:eastAsia="zh-CN"/>
        </w:rPr>
        <w:t>询比</w:t>
      </w:r>
      <w:r>
        <w:rPr>
          <w:rFonts w:hint="eastAsia" w:ascii="微软雅黑" w:hAnsi="微软雅黑" w:eastAsia="微软雅黑"/>
          <w:b/>
          <w:bCs/>
          <w:sz w:val="24"/>
          <w:szCs w:val="24"/>
          <w:highlight w:val="none"/>
        </w:rPr>
        <w:t>响应函</w:t>
      </w:r>
    </w:p>
    <w:p w14:paraId="71F3C9E8">
      <w:pPr>
        <w:adjustRightInd w:val="0"/>
        <w:snapToGrid w:val="0"/>
        <w:spacing w:line="360" w:lineRule="auto"/>
        <w:rPr>
          <w:rFonts w:ascii="仿宋_GB2312" w:hAnsi="微软雅黑"/>
          <w:sz w:val="24"/>
          <w:szCs w:val="24"/>
          <w:highlight w:val="none"/>
        </w:rPr>
      </w:pPr>
      <w:r>
        <w:rPr>
          <w:rFonts w:hint="eastAsia" w:ascii="仿宋_GB2312" w:hAnsi="微软雅黑"/>
          <w:sz w:val="24"/>
          <w:szCs w:val="24"/>
          <w:highlight w:val="none"/>
        </w:rPr>
        <w:t>致：（采购人）</w:t>
      </w:r>
    </w:p>
    <w:p w14:paraId="3B982003">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（服务机构全称）授权（授权代表名称）（职务、职称）为授权代表，参加贵方组织的（项目名称）响应的有关活动，并对此项目进行申请。为此：</w:t>
      </w:r>
    </w:p>
    <w:p w14:paraId="00603C3A">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1.提供服务机构须知规定的全部响应文件：盖章电子版扫描件一份。</w:t>
      </w:r>
    </w:p>
    <w:p w14:paraId="6DB9AD3E">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2.服务机构将按采购文件的规定履行合同责任和义务。</w:t>
      </w:r>
    </w:p>
    <w:p w14:paraId="0A965F56">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3.服务机构已详细审查全部采购文件，包括修改文件（如有）以及全部参考资料和有关附件。我们完全理解并同意放弃对这方面有不明误解的权利。</w:t>
      </w:r>
    </w:p>
    <w:p w14:paraId="04E294CB">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4.其响应文件自从递交截止之日起有效期为90天。</w:t>
      </w:r>
    </w:p>
    <w:p w14:paraId="3ADE971E">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5.我单位同意提供按照贵方可能要求的与其响应文件有关的一切数据或资料。</w:t>
      </w:r>
    </w:p>
    <w:p w14:paraId="20D903BB">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6.与本响应文件有关的一切正式往来通讯请寄：</w:t>
      </w:r>
    </w:p>
    <w:p w14:paraId="46387C9C">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地址：</w:t>
      </w:r>
    </w:p>
    <w:p w14:paraId="47D4F847">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电话：</w:t>
      </w:r>
    </w:p>
    <w:p w14:paraId="53C289F5">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服务机构授权代表姓名、职务（印刷体）：</w:t>
      </w:r>
    </w:p>
    <w:p w14:paraId="0079F8BB">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授权代表签字：日期：年月日</w:t>
      </w:r>
    </w:p>
    <w:p w14:paraId="290D16DB">
      <w:pPr>
        <w:adjustRightInd w:val="0"/>
        <w:snapToGrid w:val="0"/>
        <w:spacing w:line="360" w:lineRule="auto"/>
        <w:ind w:firstLine="480" w:firstLineChars="200"/>
        <w:rPr>
          <w:rFonts w:ascii="仿宋_GB2312" w:hAnsi="微软雅黑"/>
          <w:sz w:val="24"/>
          <w:szCs w:val="24"/>
          <w:highlight w:val="none"/>
          <w:u w:val="single"/>
        </w:rPr>
      </w:pPr>
      <w:r>
        <w:rPr>
          <w:rFonts w:hint="eastAsia" w:ascii="仿宋_GB2312" w:hAnsi="微软雅黑"/>
          <w:sz w:val="24"/>
          <w:szCs w:val="24"/>
          <w:highlight w:val="none"/>
        </w:rPr>
        <w:t>服务机构单位名称：（公章）</w:t>
      </w:r>
    </w:p>
    <w:p w14:paraId="17D4DF92">
      <w:pPr>
        <w:adjustRightInd w:val="0"/>
        <w:snapToGrid w:val="0"/>
        <w:spacing w:line="360" w:lineRule="auto"/>
        <w:ind w:firstLine="480" w:firstLineChars="200"/>
        <w:rPr>
          <w:rFonts w:ascii="微软雅黑" w:hAnsi="微软雅黑" w:eastAsia="微软雅黑"/>
          <w:sz w:val="24"/>
          <w:szCs w:val="24"/>
          <w:highlight w:val="none"/>
          <w:u w:val="single"/>
        </w:rPr>
      </w:pPr>
    </w:p>
    <w:p w14:paraId="6E849E94">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b/>
          <w:sz w:val="24"/>
          <w:szCs w:val="24"/>
          <w:highlight w:val="none"/>
        </w:rPr>
        <w:br w:type="page"/>
      </w:r>
      <w:bookmarkStart w:id="114" w:name="_Toc16246"/>
      <w:bookmarkStart w:id="115" w:name="_Toc83393222"/>
      <w:bookmarkStart w:id="116" w:name="_Toc29892"/>
      <w:bookmarkStart w:id="117" w:name="_Toc438626588"/>
      <w:bookmarkStart w:id="118" w:name="_Toc435621747"/>
      <w:r>
        <w:rPr>
          <w:rFonts w:hint="eastAsia" w:ascii="微软雅黑" w:hAnsi="微软雅黑" w:eastAsia="微软雅黑"/>
          <w:b/>
          <w:sz w:val="24"/>
          <w:szCs w:val="24"/>
          <w:highlight w:val="none"/>
        </w:rPr>
        <w:t>附件3：法定代表人授权委托书和身份证明</w:t>
      </w:r>
      <w:bookmarkEnd w:id="114"/>
      <w:bookmarkEnd w:id="115"/>
      <w:bookmarkEnd w:id="116"/>
    </w:p>
    <w:p w14:paraId="6CC04905">
      <w:pPr>
        <w:rPr>
          <w:rFonts w:ascii="微软雅黑" w:hAnsi="微软雅黑" w:eastAsia="微软雅黑"/>
          <w:b/>
          <w:sz w:val="24"/>
          <w:szCs w:val="24"/>
          <w:highlight w:val="none"/>
        </w:rPr>
      </w:pPr>
      <w:r>
        <w:rPr>
          <w:rFonts w:hint="eastAsia" w:ascii="微软雅黑" w:hAnsi="微软雅黑" w:eastAsia="微软雅黑"/>
          <w:b/>
          <w:sz w:val="24"/>
          <w:szCs w:val="24"/>
          <w:highlight w:val="none"/>
        </w:rPr>
        <w:t>附件3-1法定代表人授权委托书</w:t>
      </w:r>
      <w:bookmarkEnd w:id="117"/>
      <w:bookmarkEnd w:id="118"/>
    </w:p>
    <w:p w14:paraId="3291C501">
      <w:pPr>
        <w:spacing w:line="360" w:lineRule="auto"/>
        <w:jc w:val="center"/>
        <w:rPr>
          <w:rFonts w:ascii="微软雅黑" w:hAnsi="微软雅黑" w:eastAsia="微软雅黑" w:cs="微软雅黑"/>
          <w:b/>
          <w:bCs/>
          <w:sz w:val="24"/>
          <w:szCs w:val="24"/>
          <w:highlight w:val="none"/>
        </w:rPr>
      </w:pPr>
      <w:bookmarkStart w:id="119" w:name="_Toc477769362"/>
      <w:bookmarkStart w:id="120" w:name="_Toc479838101"/>
      <w:bookmarkStart w:id="121" w:name="_Toc477768468"/>
      <w:bookmarkStart w:id="122" w:name="_Toc287614844"/>
      <w:bookmarkStart w:id="123" w:name="_Toc287537731"/>
      <w:bookmarkStart w:id="124" w:name="_Toc479594668"/>
      <w:bookmarkStart w:id="125" w:name="_Toc436398685"/>
      <w:bookmarkStart w:id="126" w:name="_Toc6461"/>
      <w:bookmarkStart w:id="127" w:name="_Toc438626590"/>
      <w:bookmarkStart w:id="128" w:name="_Toc334536101"/>
      <w:bookmarkStart w:id="129" w:name="_Toc308011529"/>
      <w:r>
        <w:rPr>
          <w:rFonts w:hint="eastAsia" w:ascii="微软雅黑" w:hAnsi="微软雅黑" w:eastAsia="微软雅黑" w:cs="微软雅黑"/>
          <w:b/>
          <w:bCs/>
          <w:sz w:val="24"/>
          <w:szCs w:val="24"/>
          <w:highlight w:val="none"/>
        </w:rPr>
        <w:t>授权委托书</w:t>
      </w:r>
    </w:p>
    <w:p w14:paraId="37EB5C64">
      <w:pPr>
        <w:snapToGrid w:val="0"/>
        <w:spacing w:after="381" w:afterLines="100" w:line="360" w:lineRule="auto"/>
        <w:rPr>
          <w:rFonts w:ascii="仿宋_GB2312" w:hAnsi="微软雅黑" w:cs="微软雅黑"/>
          <w:sz w:val="24"/>
          <w:szCs w:val="24"/>
          <w:highlight w:val="none"/>
          <w:u w:val="single"/>
        </w:rPr>
      </w:pPr>
      <w:r>
        <w:rPr>
          <w:rFonts w:hint="eastAsia" w:ascii="仿宋_GB2312" w:hAnsi="微软雅黑" w:cs="微软雅黑"/>
          <w:sz w:val="24"/>
          <w:szCs w:val="24"/>
          <w:highlight w:val="none"/>
        </w:rPr>
        <w:t>致：</w:t>
      </w:r>
      <w:r>
        <w:rPr>
          <w:rFonts w:hint="eastAsia" w:ascii="仿宋_GB2312" w:hAnsi="微软雅黑" w:cs="微软雅黑"/>
          <w:sz w:val="24"/>
          <w:szCs w:val="24"/>
          <w:highlight w:val="none"/>
          <w:u w:val="single"/>
        </w:rPr>
        <w:t>（采购人）</w:t>
      </w:r>
      <w:bookmarkEnd w:id="119"/>
      <w:bookmarkEnd w:id="120"/>
      <w:bookmarkEnd w:id="121"/>
      <w:bookmarkEnd w:id="122"/>
      <w:bookmarkEnd w:id="123"/>
      <w:bookmarkEnd w:id="124"/>
      <w:bookmarkEnd w:id="125"/>
      <w:bookmarkEnd w:id="126"/>
      <w:bookmarkEnd w:id="127"/>
    </w:p>
    <w:p w14:paraId="202C7FEC">
      <w:pPr>
        <w:snapToGrid w:val="0"/>
        <w:spacing w:after="381" w:afterLines="100" w:line="360" w:lineRule="auto"/>
        <w:rPr>
          <w:rFonts w:ascii="仿宋_GB2312" w:hAnsi="微软雅黑" w:cs="微软雅黑"/>
          <w:sz w:val="24"/>
          <w:szCs w:val="24"/>
          <w:highlight w:val="none"/>
        </w:rPr>
      </w:pPr>
      <w:r>
        <w:rPr>
          <w:rFonts w:hint="eastAsia" w:ascii="仿宋_GB2312" w:hAnsi="微软雅黑" w:cs="微软雅黑"/>
          <w:sz w:val="24"/>
          <w:szCs w:val="24"/>
          <w:highlight w:val="none"/>
        </w:rPr>
        <w:t>本授权书声明：注册于</w:t>
      </w:r>
      <w:r>
        <w:rPr>
          <w:rFonts w:hint="eastAsia" w:ascii="仿宋_GB2312" w:hAnsi="微软雅黑" w:cs="微软雅黑"/>
          <w:sz w:val="24"/>
          <w:szCs w:val="24"/>
          <w:highlight w:val="none"/>
          <w:u w:val="single"/>
        </w:rPr>
        <w:t>（服务机构住址）</w:t>
      </w:r>
      <w:r>
        <w:rPr>
          <w:rFonts w:hint="eastAsia" w:ascii="仿宋_GB2312" w:hAnsi="微软雅黑" w:cs="微软雅黑"/>
          <w:sz w:val="24"/>
          <w:szCs w:val="24"/>
          <w:highlight w:val="none"/>
        </w:rPr>
        <w:t>的</w:t>
      </w:r>
      <w:r>
        <w:rPr>
          <w:rFonts w:hint="eastAsia" w:ascii="仿宋_GB2312" w:hAnsi="微软雅黑" w:cs="微软雅黑"/>
          <w:sz w:val="24"/>
          <w:szCs w:val="24"/>
          <w:highlight w:val="none"/>
          <w:u w:val="single"/>
        </w:rPr>
        <w:t>（服务机构名称）</w:t>
      </w:r>
      <w:r>
        <w:rPr>
          <w:rFonts w:hint="eastAsia" w:ascii="仿宋_GB2312" w:hAnsi="微软雅黑" w:cs="微软雅黑"/>
          <w:sz w:val="24"/>
          <w:szCs w:val="24"/>
          <w:highlight w:val="none"/>
        </w:rPr>
        <w:t>法定代表人</w:t>
      </w:r>
      <w:r>
        <w:rPr>
          <w:rFonts w:hint="eastAsia" w:ascii="仿宋_GB2312" w:hAnsi="微软雅黑" w:cs="微软雅黑"/>
          <w:sz w:val="24"/>
          <w:szCs w:val="24"/>
          <w:highlight w:val="none"/>
          <w:u w:val="single"/>
        </w:rPr>
        <w:t>（法定代表人姓名、职务）</w:t>
      </w:r>
      <w:r>
        <w:rPr>
          <w:rFonts w:hint="eastAsia" w:ascii="仿宋_GB2312" w:hAnsi="微软雅黑" w:cs="微软雅黑"/>
          <w:sz w:val="24"/>
          <w:szCs w:val="24"/>
          <w:highlight w:val="none"/>
        </w:rPr>
        <w:t>代表本公司授权在下面签字的</w:t>
      </w:r>
      <w:r>
        <w:rPr>
          <w:rFonts w:hint="eastAsia" w:ascii="仿宋_GB2312" w:hAnsi="微软雅黑" w:cs="微软雅黑"/>
          <w:sz w:val="24"/>
          <w:szCs w:val="24"/>
          <w:highlight w:val="none"/>
          <w:u w:val="single"/>
        </w:rPr>
        <w:t>（服务机构代表姓名、职务）</w:t>
      </w:r>
      <w:r>
        <w:rPr>
          <w:rFonts w:hint="eastAsia" w:ascii="仿宋_GB2312" w:hAnsi="微软雅黑" w:cs="微软雅黑"/>
          <w:sz w:val="24"/>
          <w:szCs w:val="24"/>
          <w:highlight w:val="none"/>
        </w:rPr>
        <w:t>为本公司的合法代理人，就贵方组织的</w:t>
      </w:r>
      <w:r>
        <w:rPr>
          <w:rFonts w:hint="eastAsia" w:ascii="仿宋_GB2312" w:hAnsi="微软雅黑" w:cs="微软雅黑"/>
          <w:sz w:val="24"/>
          <w:szCs w:val="24"/>
          <w:highlight w:val="none"/>
          <w:u w:val="single"/>
        </w:rPr>
        <w:t>（</w:t>
      </w:r>
      <w:r>
        <w:rPr>
          <w:rFonts w:hint="eastAsia" w:ascii="仿宋_GB2312" w:hAnsi="微软雅黑" w:cs="微软雅黑"/>
          <w:sz w:val="24"/>
          <w:szCs w:val="24"/>
          <w:highlight w:val="none"/>
          <w:u w:val="single"/>
          <w:lang w:eastAsia="zh-CN"/>
        </w:rPr>
        <w:t>询比</w:t>
      </w:r>
      <w:r>
        <w:rPr>
          <w:rFonts w:hint="eastAsia" w:ascii="仿宋_GB2312" w:hAnsi="微软雅黑" w:cs="微软雅黑"/>
          <w:sz w:val="24"/>
          <w:szCs w:val="24"/>
          <w:highlight w:val="none"/>
          <w:u w:val="single"/>
        </w:rPr>
        <w:t>项目）</w:t>
      </w:r>
      <w:r>
        <w:rPr>
          <w:rFonts w:hint="eastAsia" w:ascii="仿宋_GB2312" w:hAnsi="微软雅黑" w:cs="微软雅黑"/>
          <w:sz w:val="24"/>
          <w:szCs w:val="24"/>
          <w:highlight w:val="none"/>
        </w:rPr>
        <w:t>以本公司名义处理一切与此项目有关的采购及合同签署事宜。</w:t>
      </w:r>
    </w:p>
    <w:p w14:paraId="1314CA7B">
      <w:pPr>
        <w:snapToGrid w:val="0"/>
        <w:spacing w:before="381" w:beforeLines="100" w:line="480" w:lineRule="auto"/>
        <w:rPr>
          <w:rFonts w:ascii="仿宋_GB2312" w:hAnsi="微软雅黑" w:cs="微软雅黑"/>
          <w:sz w:val="24"/>
          <w:szCs w:val="24"/>
          <w:highlight w:val="none"/>
        </w:rPr>
      </w:pPr>
      <w:r>
        <w:rPr>
          <w:rFonts w:hint="eastAsia" w:ascii="仿宋_GB2312" w:hAnsi="微软雅黑" w:cs="微软雅黑"/>
          <w:sz w:val="24"/>
          <w:szCs w:val="24"/>
          <w:highlight w:val="none"/>
        </w:rPr>
        <w:t>本授权书于年月日签字生效，特此声明。</w:t>
      </w:r>
    </w:p>
    <w:p w14:paraId="799ED22A">
      <w:pPr>
        <w:snapToGrid w:val="0"/>
        <w:spacing w:after="190" w:afterLines="50" w:line="480" w:lineRule="auto"/>
        <w:rPr>
          <w:rFonts w:ascii="仿宋_GB2312" w:hAnsi="微软雅黑" w:cs="微软雅黑"/>
          <w:sz w:val="24"/>
          <w:szCs w:val="24"/>
          <w:highlight w:val="none"/>
        </w:rPr>
      </w:pPr>
      <w:r>
        <w:rPr>
          <w:rFonts w:hint="eastAsia" w:ascii="仿宋_GB2312" w:hAnsi="微软雅黑" w:cs="微软雅黑"/>
          <w:sz w:val="24"/>
          <w:szCs w:val="24"/>
          <w:highlight w:val="none"/>
        </w:rPr>
        <w:t>法定代表人印刷体姓名、签字盖章：</w:t>
      </w:r>
    </w:p>
    <w:p w14:paraId="0203543C">
      <w:pPr>
        <w:snapToGrid w:val="0"/>
        <w:spacing w:after="190" w:afterLines="50" w:line="480" w:lineRule="auto"/>
        <w:rPr>
          <w:rFonts w:ascii="仿宋_GB2312" w:hAnsi="微软雅黑" w:cs="微软雅黑"/>
          <w:sz w:val="24"/>
          <w:szCs w:val="24"/>
          <w:highlight w:val="none"/>
        </w:rPr>
      </w:pPr>
      <w:r>
        <w:rPr>
          <w:rFonts w:hint="eastAsia" w:ascii="仿宋_GB2312" w:hAnsi="微软雅黑" w:cs="微软雅黑"/>
          <w:sz w:val="24"/>
          <w:szCs w:val="24"/>
          <w:highlight w:val="none"/>
        </w:rPr>
        <w:t>服务机构授权代表印刷体姓名、签字盖章：</w:t>
      </w:r>
    </w:p>
    <w:p w14:paraId="4837E675">
      <w:pPr>
        <w:snapToGrid w:val="0"/>
        <w:spacing w:after="190" w:afterLines="50" w:line="480" w:lineRule="auto"/>
        <w:rPr>
          <w:rFonts w:ascii="仿宋_GB2312" w:hAnsi="微软雅黑" w:cs="微软雅黑"/>
          <w:sz w:val="24"/>
          <w:szCs w:val="24"/>
          <w:highlight w:val="none"/>
        </w:rPr>
      </w:pPr>
      <w:r>
        <w:rPr>
          <w:rFonts w:hint="eastAsia" w:ascii="仿宋_GB2312" w:hAnsi="微软雅黑" w:cs="微软雅黑"/>
          <w:sz w:val="24"/>
          <w:szCs w:val="24"/>
          <w:highlight w:val="none"/>
        </w:rPr>
        <w:t>服务机构全称、公章：</w:t>
      </w:r>
      <w:r>
        <w:rPr>
          <w:rFonts w:hint="eastAsia" w:ascii="仿宋_GB2312" w:hAnsi="微软雅黑" w:cs="微软雅黑"/>
          <w:sz w:val="24"/>
          <w:szCs w:val="24"/>
          <w:highlight w:val="none"/>
          <w:u w:val="single"/>
        </w:rP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5B0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4261" w:type="dxa"/>
            <w:tcBorders>
              <w:top w:val="single" w:color="auto" w:sz="4" w:space="0"/>
              <w:left w:val="single" w:color="auto" w:sz="4" w:space="0"/>
              <w:bottom w:val="single" w:color="auto" w:sz="4" w:space="0"/>
              <w:right w:val="single" w:color="auto" w:sz="4" w:space="0"/>
            </w:tcBorders>
            <w:vAlign w:val="center"/>
          </w:tcPr>
          <w:p w14:paraId="174E6234">
            <w:pPr>
              <w:snapToGrid w:val="0"/>
              <w:spacing w:after="571" w:afterLines="150" w:line="480" w:lineRule="auto"/>
              <w:jc w:val="center"/>
              <w:rPr>
                <w:rFonts w:ascii="仿宋_GB2312" w:hAnsi="微软雅黑"/>
                <w:sz w:val="24"/>
                <w:szCs w:val="24"/>
                <w:highlight w:val="none"/>
              </w:rPr>
            </w:pPr>
            <w:r>
              <w:rPr>
                <w:rFonts w:hint="eastAsia" w:ascii="仿宋_GB2312" w:hAnsi="微软雅黑"/>
                <w:sz w:val="24"/>
                <w:szCs w:val="24"/>
                <w:highlight w:val="none"/>
              </w:rPr>
              <w:t>法定代表人身份证复印件（双面）</w:t>
            </w:r>
          </w:p>
        </w:tc>
        <w:tc>
          <w:tcPr>
            <w:tcW w:w="4261" w:type="dxa"/>
            <w:tcBorders>
              <w:top w:val="single" w:color="auto" w:sz="4" w:space="0"/>
              <w:left w:val="single" w:color="auto" w:sz="4" w:space="0"/>
              <w:bottom w:val="single" w:color="auto" w:sz="4" w:space="0"/>
              <w:right w:val="single" w:color="auto" w:sz="4" w:space="0"/>
            </w:tcBorders>
            <w:vAlign w:val="center"/>
          </w:tcPr>
          <w:p w14:paraId="718C86F7">
            <w:pPr>
              <w:snapToGrid w:val="0"/>
              <w:spacing w:after="571" w:afterLines="150" w:line="480" w:lineRule="auto"/>
              <w:jc w:val="center"/>
              <w:rPr>
                <w:rFonts w:ascii="仿宋_GB2312" w:hAnsi="微软雅黑"/>
                <w:sz w:val="24"/>
                <w:szCs w:val="24"/>
                <w:highlight w:val="none"/>
              </w:rPr>
            </w:pPr>
            <w:r>
              <w:rPr>
                <w:rFonts w:hint="eastAsia" w:ascii="仿宋_GB2312" w:hAnsi="微软雅黑"/>
                <w:sz w:val="24"/>
                <w:szCs w:val="24"/>
                <w:highlight w:val="none"/>
              </w:rPr>
              <w:t>授权代表身份证复印件（双面）</w:t>
            </w:r>
          </w:p>
        </w:tc>
      </w:tr>
    </w:tbl>
    <w:p w14:paraId="539671D3">
      <w:pPr>
        <w:rPr>
          <w:rFonts w:ascii="微软雅黑" w:hAnsi="微软雅黑" w:eastAsia="微软雅黑"/>
          <w:sz w:val="24"/>
          <w:szCs w:val="24"/>
          <w:highlight w:val="none"/>
        </w:rPr>
      </w:pPr>
    </w:p>
    <w:p w14:paraId="68115708">
      <w:pPr>
        <w:keepNext/>
        <w:keepLines/>
        <w:autoSpaceDE w:val="0"/>
        <w:autoSpaceDN w:val="0"/>
        <w:adjustRightInd w:val="0"/>
        <w:spacing w:line="300" w:lineRule="auto"/>
        <w:rPr>
          <w:rFonts w:ascii="微软雅黑" w:hAnsi="微软雅黑" w:eastAsia="微软雅黑"/>
          <w:b/>
          <w:sz w:val="24"/>
          <w:szCs w:val="24"/>
          <w:highlight w:val="none"/>
        </w:rPr>
      </w:pPr>
      <w:r>
        <w:rPr>
          <w:rFonts w:hint="eastAsia" w:ascii="微软雅黑" w:hAnsi="微软雅黑" w:eastAsia="微软雅黑"/>
          <w:b/>
          <w:sz w:val="24"/>
          <w:szCs w:val="24"/>
          <w:highlight w:val="none"/>
        </w:rPr>
        <w:br w:type="page"/>
      </w:r>
      <w:r>
        <w:rPr>
          <w:rFonts w:hint="eastAsia" w:ascii="微软雅黑" w:hAnsi="微软雅黑" w:eastAsia="微软雅黑"/>
          <w:b/>
          <w:sz w:val="24"/>
          <w:szCs w:val="24"/>
          <w:highlight w:val="none"/>
        </w:rPr>
        <w:t>附件3-2法定代表人身份证明</w:t>
      </w:r>
    </w:p>
    <w:p w14:paraId="3E1943AA">
      <w:pPr>
        <w:spacing w:after="381" w:afterLines="100" w:line="360" w:lineRule="auto"/>
        <w:jc w:val="center"/>
        <w:rPr>
          <w:rFonts w:ascii="微软雅黑" w:hAnsi="微软雅黑" w:eastAsia="微软雅黑"/>
          <w:b/>
          <w:sz w:val="24"/>
          <w:szCs w:val="24"/>
          <w:highlight w:val="none"/>
        </w:rPr>
      </w:pPr>
      <w:bookmarkStart w:id="130" w:name="_Toc434413611"/>
      <w:r>
        <w:rPr>
          <w:rFonts w:hint="eastAsia" w:ascii="微软雅黑" w:hAnsi="微软雅黑" w:eastAsia="微软雅黑"/>
          <w:b/>
          <w:sz w:val="24"/>
          <w:szCs w:val="24"/>
          <w:highlight w:val="none"/>
        </w:rPr>
        <w:t>法定代表人身份证明</w:t>
      </w:r>
    </w:p>
    <w:p w14:paraId="311D3581">
      <w:pPr>
        <w:spacing w:line="480" w:lineRule="auto"/>
        <w:rPr>
          <w:rFonts w:ascii="仿宋_GB2312" w:hAnsi="微软雅黑"/>
          <w:sz w:val="24"/>
          <w:szCs w:val="24"/>
          <w:highlight w:val="none"/>
        </w:rPr>
      </w:pPr>
      <w:r>
        <w:rPr>
          <w:rFonts w:hint="eastAsia" w:ascii="仿宋_GB2312" w:hAnsi="微软雅黑"/>
          <w:sz w:val="24"/>
          <w:szCs w:val="24"/>
          <w:highlight w:val="none"/>
        </w:rPr>
        <w:t>服务机构名称：</w:t>
      </w:r>
    </w:p>
    <w:p w14:paraId="746C93FA">
      <w:pPr>
        <w:spacing w:line="480" w:lineRule="auto"/>
        <w:rPr>
          <w:rFonts w:ascii="仿宋_GB2312" w:hAnsi="微软雅黑"/>
          <w:sz w:val="24"/>
          <w:szCs w:val="24"/>
          <w:highlight w:val="none"/>
        </w:rPr>
      </w:pPr>
      <w:r>
        <w:rPr>
          <w:rFonts w:hint="eastAsia" w:ascii="仿宋_GB2312" w:hAnsi="微软雅黑"/>
          <w:sz w:val="24"/>
          <w:szCs w:val="24"/>
          <w:highlight w:val="none"/>
        </w:rPr>
        <w:t>成立时间：</w:t>
      </w:r>
    </w:p>
    <w:p w14:paraId="4AAF7441">
      <w:pPr>
        <w:spacing w:line="480" w:lineRule="auto"/>
        <w:rPr>
          <w:rFonts w:ascii="仿宋_GB2312" w:hAnsi="微软雅黑"/>
          <w:sz w:val="24"/>
          <w:szCs w:val="24"/>
          <w:highlight w:val="none"/>
        </w:rPr>
      </w:pPr>
      <w:r>
        <w:rPr>
          <w:rFonts w:hint="eastAsia" w:ascii="仿宋_GB2312" w:hAnsi="微软雅黑"/>
          <w:sz w:val="24"/>
          <w:szCs w:val="24"/>
          <w:highlight w:val="none"/>
        </w:rPr>
        <w:t>经营范围：</w:t>
      </w:r>
    </w:p>
    <w:p w14:paraId="14AFC921">
      <w:pPr>
        <w:spacing w:line="480" w:lineRule="auto"/>
        <w:rPr>
          <w:rFonts w:ascii="仿宋_GB2312" w:hAnsi="微软雅黑"/>
          <w:sz w:val="24"/>
          <w:szCs w:val="24"/>
          <w:highlight w:val="none"/>
        </w:rPr>
      </w:pPr>
      <w:r>
        <w:rPr>
          <w:rFonts w:hint="eastAsia" w:ascii="仿宋_GB2312" w:hAnsi="微软雅黑"/>
          <w:sz w:val="24"/>
          <w:szCs w:val="24"/>
          <w:highlight w:val="none"/>
        </w:rPr>
        <w:t>姓名：性别：年龄：职位：</w:t>
      </w:r>
    </w:p>
    <w:p w14:paraId="7EBDEEF2">
      <w:pPr>
        <w:spacing w:line="480" w:lineRule="auto"/>
        <w:rPr>
          <w:rFonts w:ascii="仿宋_GB2312" w:hAnsi="微软雅黑"/>
          <w:sz w:val="24"/>
          <w:szCs w:val="24"/>
          <w:highlight w:val="none"/>
        </w:rPr>
      </w:pPr>
      <w:r>
        <w:rPr>
          <w:rFonts w:hint="eastAsia" w:ascii="仿宋_GB2312" w:hAnsi="微软雅黑"/>
          <w:sz w:val="24"/>
          <w:szCs w:val="24"/>
          <w:highlight w:val="none"/>
        </w:rPr>
        <w:t>系</w:t>
      </w:r>
      <w:r>
        <w:rPr>
          <w:rFonts w:hint="eastAsia" w:ascii="仿宋_GB2312" w:hAnsi="微软雅黑"/>
          <w:sz w:val="24"/>
          <w:szCs w:val="24"/>
          <w:highlight w:val="none"/>
          <w:u w:val="single"/>
        </w:rPr>
        <w:t>（服务机构名称）</w:t>
      </w:r>
      <w:r>
        <w:rPr>
          <w:rFonts w:hint="eastAsia" w:ascii="仿宋_GB2312" w:hAnsi="微软雅黑"/>
          <w:sz w:val="24"/>
          <w:szCs w:val="24"/>
          <w:highlight w:val="none"/>
        </w:rPr>
        <w:t>的法定代表人。</w:t>
      </w:r>
    </w:p>
    <w:p w14:paraId="534D3624">
      <w:pPr>
        <w:spacing w:line="480" w:lineRule="auto"/>
        <w:rPr>
          <w:rFonts w:ascii="仿宋_GB2312" w:hAnsi="微软雅黑"/>
          <w:sz w:val="24"/>
          <w:szCs w:val="24"/>
          <w:highlight w:val="none"/>
        </w:rPr>
      </w:pPr>
      <w:r>
        <w:rPr>
          <w:rFonts w:hint="eastAsia" w:ascii="仿宋_GB2312" w:hAnsi="微软雅黑"/>
          <w:sz w:val="24"/>
          <w:szCs w:val="24"/>
          <w:highlight w:val="none"/>
        </w:rPr>
        <w:t>特此证明。</w:t>
      </w:r>
    </w:p>
    <w:p w14:paraId="4E1E9E0B">
      <w:pPr>
        <w:spacing w:line="480" w:lineRule="auto"/>
        <w:rPr>
          <w:rFonts w:ascii="仿宋_GB2312" w:hAnsi="微软雅黑"/>
          <w:sz w:val="24"/>
          <w:szCs w:val="24"/>
          <w:highlight w:val="none"/>
        </w:rPr>
      </w:pPr>
    </w:p>
    <w:p w14:paraId="487B7742">
      <w:pPr>
        <w:spacing w:line="480" w:lineRule="auto"/>
        <w:rPr>
          <w:rFonts w:ascii="仿宋_GB2312" w:hAnsi="微软雅黑"/>
          <w:sz w:val="24"/>
          <w:szCs w:val="24"/>
          <w:highlight w:val="none"/>
        </w:rPr>
      </w:pPr>
    </w:p>
    <w:p w14:paraId="6C4AA893">
      <w:pPr>
        <w:spacing w:line="480" w:lineRule="auto"/>
        <w:rPr>
          <w:rFonts w:ascii="仿宋_GB2312" w:hAnsi="微软雅黑"/>
          <w:sz w:val="24"/>
          <w:szCs w:val="24"/>
          <w:highlight w:val="none"/>
        </w:rPr>
      </w:pPr>
      <w:r>
        <w:rPr>
          <w:rFonts w:hint="eastAsia" w:ascii="仿宋_GB2312" w:hAnsi="微软雅黑"/>
          <w:sz w:val="24"/>
          <w:szCs w:val="24"/>
          <w:highlight w:val="none"/>
        </w:rPr>
        <w:t>服务机构：</w:t>
      </w:r>
    </w:p>
    <w:p w14:paraId="210F7324">
      <w:pPr>
        <w:spacing w:line="480" w:lineRule="auto"/>
        <w:ind w:firstLine="5640" w:firstLineChars="2350"/>
        <w:rPr>
          <w:rFonts w:ascii="仿宋_GB2312" w:hAnsi="微软雅黑"/>
          <w:sz w:val="24"/>
          <w:szCs w:val="24"/>
          <w:highlight w:val="none"/>
        </w:rPr>
      </w:pPr>
      <w:r>
        <w:rPr>
          <w:rFonts w:hint="eastAsia" w:ascii="仿宋_GB2312" w:hAnsi="微软雅黑"/>
          <w:sz w:val="24"/>
          <w:szCs w:val="24"/>
          <w:highlight w:val="none"/>
        </w:rPr>
        <w:t>（公章）</w:t>
      </w:r>
    </w:p>
    <w:p w14:paraId="024A8379">
      <w:pPr>
        <w:spacing w:line="480" w:lineRule="auto"/>
        <w:rPr>
          <w:rFonts w:ascii="仿宋_GB2312" w:hAnsi="微软雅黑"/>
          <w:sz w:val="24"/>
          <w:szCs w:val="24"/>
          <w:highlight w:val="none"/>
        </w:rPr>
      </w:pPr>
      <w:r>
        <w:rPr>
          <w:rFonts w:hint="eastAsia" w:ascii="仿宋_GB2312" w:hAnsi="微软雅黑"/>
          <w:sz w:val="24"/>
          <w:szCs w:val="24"/>
          <w:highlight w:val="none"/>
        </w:rPr>
        <w:t>年月日</w:t>
      </w:r>
      <w:bookmarkEnd w:id="128"/>
      <w:bookmarkEnd w:id="129"/>
      <w:bookmarkEnd w:id="130"/>
      <w:bookmarkStart w:id="131" w:name="_Toc434830033"/>
      <w:bookmarkStart w:id="132" w:name="_Toc434589785"/>
      <w:bookmarkStart w:id="133" w:name="_Toc434413612"/>
      <w:bookmarkStart w:id="134" w:name="_Toc435621748"/>
      <w:bookmarkStart w:id="135" w:name="_Toc438626592"/>
      <w:bookmarkStart w:id="136" w:name="_Toc23127"/>
      <w:bookmarkStart w:id="137" w:name="_Toc31309"/>
    </w:p>
    <w:p w14:paraId="17F7B504">
      <w:pPr>
        <w:spacing w:line="480" w:lineRule="auto"/>
        <w:rPr>
          <w:rFonts w:ascii="微软雅黑" w:hAnsi="微软雅黑" w:eastAsia="微软雅黑"/>
          <w:sz w:val="24"/>
          <w:szCs w:val="24"/>
          <w:highlight w:val="none"/>
        </w:rPr>
      </w:pPr>
    </w:p>
    <w:p w14:paraId="562DCE24">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sz w:val="24"/>
          <w:szCs w:val="24"/>
          <w:highlight w:val="none"/>
        </w:rPr>
        <w:br w:type="page"/>
      </w:r>
      <w:bookmarkStart w:id="138" w:name="_Toc83393223"/>
      <w:r>
        <w:rPr>
          <w:rFonts w:hint="eastAsia" w:ascii="微软雅黑" w:hAnsi="微软雅黑" w:eastAsia="微软雅黑"/>
          <w:b/>
          <w:sz w:val="24"/>
          <w:szCs w:val="24"/>
          <w:highlight w:val="none"/>
        </w:rPr>
        <w:t>附件4</w:t>
      </w:r>
      <w:bookmarkEnd w:id="131"/>
      <w:bookmarkEnd w:id="132"/>
      <w:bookmarkEnd w:id="133"/>
      <w:r>
        <w:rPr>
          <w:rFonts w:hint="eastAsia" w:ascii="微软雅黑" w:hAnsi="微软雅黑" w:eastAsia="微软雅黑"/>
          <w:b/>
          <w:sz w:val="24"/>
          <w:szCs w:val="24"/>
          <w:highlight w:val="none"/>
        </w:rPr>
        <w:t>：服务机构基本情况介绍</w:t>
      </w:r>
      <w:bookmarkEnd w:id="134"/>
      <w:bookmarkEnd w:id="135"/>
      <w:bookmarkEnd w:id="136"/>
      <w:bookmarkEnd w:id="137"/>
      <w:bookmarkEnd w:id="138"/>
    </w:p>
    <w:p w14:paraId="487DCD10">
      <w:pPr>
        <w:ind w:firstLine="480" w:firstLineChars="200"/>
        <w:rPr>
          <w:rFonts w:ascii="仿宋_GB2312" w:hAnsi="微软雅黑"/>
          <w:sz w:val="24"/>
          <w:szCs w:val="24"/>
          <w:highlight w:val="none"/>
        </w:rPr>
      </w:pPr>
      <w:r>
        <w:rPr>
          <w:rFonts w:hint="eastAsia" w:ascii="仿宋_GB2312" w:hAnsi="微软雅黑"/>
          <w:sz w:val="24"/>
          <w:szCs w:val="24"/>
          <w:highlight w:val="none"/>
        </w:rPr>
        <w:t>简要介绍服务机构基本情况（需重点说明境外（含越南）评估服务经验、两阶段评估（固定资产 + 股权）服务能力等核心信息）。</w:t>
      </w:r>
    </w:p>
    <w:p w14:paraId="5BCAF689">
      <w:pPr>
        <w:ind w:firstLine="480" w:firstLineChars="200"/>
        <w:rPr>
          <w:rFonts w:ascii="微软雅黑" w:hAnsi="微软雅黑" w:eastAsia="微软雅黑"/>
          <w:sz w:val="24"/>
          <w:szCs w:val="24"/>
          <w:highlight w:val="none"/>
        </w:rPr>
      </w:pPr>
    </w:p>
    <w:p w14:paraId="360381E6">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sz w:val="24"/>
          <w:szCs w:val="24"/>
          <w:highlight w:val="none"/>
        </w:rPr>
        <w:br w:type="page"/>
      </w:r>
      <w:bookmarkStart w:id="139" w:name="_Toc2026"/>
      <w:bookmarkStart w:id="140" w:name="_Toc83393224"/>
      <w:bookmarkStart w:id="141" w:name="_Toc9782"/>
      <w:bookmarkStart w:id="142" w:name="_Toc438626594"/>
      <w:bookmarkStart w:id="143" w:name="_Toc435621749"/>
      <w:r>
        <w:rPr>
          <w:rFonts w:hint="eastAsia" w:ascii="微软雅黑" w:hAnsi="微软雅黑" w:eastAsia="微软雅黑"/>
          <w:b/>
          <w:sz w:val="24"/>
          <w:szCs w:val="24"/>
          <w:highlight w:val="none"/>
        </w:rPr>
        <w:t>附件5：</w:t>
      </w:r>
      <w:bookmarkEnd w:id="139"/>
      <w:bookmarkEnd w:id="140"/>
      <w:bookmarkEnd w:id="141"/>
      <w:bookmarkEnd w:id="142"/>
      <w:bookmarkEnd w:id="143"/>
      <w:r>
        <w:rPr>
          <w:rFonts w:hint="eastAsia" w:ascii="微软雅黑" w:hAnsi="微软雅黑" w:eastAsia="微软雅黑"/>
          <w:b/>
          <w:sz w:val="24"/>
          <w:szCs w:val="24"/>
          <w:highlight w:val="none"/>
        </w:rPr>
        <w:t>服务机构资格证明</w:t>
      </w:r>
    </w:p>
    <w:p w14:paraId="68721840">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包括但不限于提供营业执照、评估服务机构执业证书等资质证件，并加盖服务机构单位公章（如具备越南相关评估服务备案资质或合作机构证明，需一并提供）。</w:t>
      </w:r>
      <w:r>
        <w:rPr>
          <w:rFonts w:hint="eastAsia" w:ascii="微软雅黑" w:hAnsi="微软雅黑" w:eastAsia="微软雅黑"/>
          <w:sz w:val="24"/>
          <w:szCs w:val="24"/>
          <w:highlight w:val="none"/>
        </w:rPr>
        <w:br w:type="page"/>
      </w:r>
    </w:p>
    <w:p w14:paraId="37CD8223">
      <w:pPr>
        <w:keepNext/>
        <w:keepLines/>
        <w:autoSpaceDE w:val="0"/>
        <w:autoSpaceDN w:val="0"/>
        <w:adjustRightInd w:val="0"/>
        <w:spacing w:line="300" w:lineRule="auto"/>
        <w:outlineLvl w:val="1"/>
        <w:rPr>
          <w:rFonts w:ascii="微软雅黑" w:hAnsi="微软雅黑" w:eastAsia="微软雅黑"/>
          <w:b/>
          <w:sz w:val="24"/>
          <w:szCs w:val="24"/>
          <w:highlight w:val="none"/>
        </w:rPr>
      </w:pPr>
      <w:bookmarkStart w:id="144" w:name="_Toc30430"/>
      <w:bookmarkStart w:id="145" w:name="_Toc1852"/>
      <w:bookmarkStart w:id="146" w:name="_Toc83393225"/>
      <w:r>
        <w:rPr>
          <w:rFonts w:hint="eastAsia" w:ascii="微软雅黑" w:hAnsi="微软雅黑" w:eastAsia="微软雅黑"/>
          <w:b/>
          <w:sz w:val="24"/>
          <w:szCs w:val="24"/>
          <w:highlight w:val="none"/>
        </w:rPr>
        <w:t>附件6：近三年内在经营活动中无重大违法记录的书面</w:t>
      </w:r>
      <w:bookmarkEnd w:id="144"/>
      <w:bookmarkEnd w:id="145"/>
      <w:bookmarkEnd w:id="146"/>
      <w:r>
        <w:rPr>
          <w:rFonts w:hint="eastAsia" w:ascii="微软雅黑" w:hAnsi="微软雅黑" w:eastAsia="微软雅黑"/>
          <w:b/>
          <w:sz w:val="24"/>
          <w:szCs w:val="24"/>
          <w:highlight w:val="none"/>
        </w:rPr>
        <w:t>材料</w:t>
      </w:r>
    </w:p>
    <w:p w14:paraId="33D79835">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近3年内（</w:t>
      </w:r>
      <w:r>
        <w:rPr>
          <w:rFonts w:ascii="仿宋_GB2312" w:hAnsi="微软雅黑"/>
          <w:bCs/>
          <w:sz w:val="24"/>
          <w:szCs w:val="21"/>
          <w:highlight w:val="none"/>
        </w:rPr>
        <w:t>202</w:t>
      </w:r>
      <w:r>
        <w:rPr>
          <w:rFonts w:hint="eastAsia" w:ascii="仿宋_GB2312" w:hAnsi="微软雅黑"/>
          <w:bCs/>
          <w:sz w:val="24"/>
          <w:szCs w:val="21"/>
          <w:highlight w:val="none"/>
        </w:rPr>
        <w:t>3</w:t>
      </w:r>
      <w:r>
        <w:rPr>
          <w:rFonts w:ascii="仿宋_GB2312" w:hAnsi="微软雅黑"/>
          <w:bCs/>
          <w:sz w:val="24"/>
          <w:szCs w:val="21"/>
          <w:highlight w:val="none"/>
        </w:rPr>
        <w:t>.1-20</w:t>
      </w:r>
      <w:r>
        <w:rPr>
          <w:rFonts w:hint="eastAsia" w:ascii="仿宋_GB2312" w:hAnsi="微软雅黑"/>
          <w:bCs/>
          <w:sz w:val="24"/>
          <w:szCs w:val="21"/>
          <w:highlight w:val="none"/>
        </w:rPr>
        <w:t>25</w:t>
      </w:r>
      <w:r>
        <w:rPr>
          <w:rFonts w:ascii="仿宋_GB2312" w:hAnsi="微软雅黑"/>
          <w:bCs/>
          <w:sz w:val="24"/>
          <w:szCs w:val="21"/>
          <w:highlight w:val="none"/>
        </w:rPr>
        <w:t>.</w:t>
      </w:r>
      <w:r>
        <w:rPr>
          <w:rFonts w:hint="eastAsia" w:ascii="仿宋_GB2312" w:hAnsi="微软雅黑"/>
          <w:bCs/>
          <w:sz w:val="24"/>
          <w:szCs w:val="21"/>
          <w:highlight w:val="none"/>
        </w:rPr>
        <w:t>12</w:t>
      </w:r>
      <w:r>
        <w:rPr>
          <w:rFonts w:hint="eastAsia" w:ascii="仿宋_GB2312" w:hAnsi="微软雅黑"/>
          <w:sz w:val="24"/>
          <w:szCs w:val="24"/>
          <w:highlight w:val="none"/>
        </w:rPr>
        <w:t>），在本行业内从事相关工作未受到工商管理部门、财政部门等给予不良记录或行政处罚的材料（1.“中国执行信息公开网”http://zxgk.court.gov.cn/shixin/或“信用中国”网www.creditchina.gov.cn的“失信被执行人”查询结果网页截图;2.“中国政府采购网”www.ccgp.gov.cn的“政府采购严重违法失信行为记录名单”查询结果网页截图，需加盖服务机构单位公章）。</w:t>
      </w:r>
    </w:p>
    <w:p w14:paraId="7E83C88A">
      <w:pPr>
        <w:rPr>
          <w:rFonts w:ascii="仿宋_GB2312" w:hAnsi="微软雅黑"/>
          <w:sz w:val="24"/>
          <w:szCs w:val="24"/>
          <w:highlight w:val="none"/>
        </w:rPr>
      </w:pPr>
      <w:r>
        <w:rPr>
          <w:rFonts w:ascii="仿宋_GB2312" w:hAnsi="微软雅黑"/>
          <w:sz w:val="24"/>
          <w:szCs w:val="24"/>
          <w:highlight w:val="none"/>
        </w:rPr>
        <w:br w:type="page"/>
      </w:r>
    </w:p>
    <w:p w14:paraId="1E9DBBD2">
      <w:pPr>
        <w:keepNext/>
        <w:keepLines/>
        <w:autoSpaceDE w:val="0"/>
        <w:autoSpaceDN w:val="0"/>
        <w:adjustRightInd w:val="0"/>
        <w:spacing w:before="240" w:after="240" w:line="560" w:lineRule="exact"/>
        <w:outlineLvl w:val="1"/>
        <w:rPr>
          <w:rFonts w:ascii="微软雅黑" w:hAnsi="微软雅黑" w:eastAsia="微软雅黑"/>
          <w:b/>
          <w:sz w:val="24"/>
          <w:szCs w:val="24"/>
          <w:highlight w:val="none"/>
        </w:rPr>
      </w:pPr>
      <w:bookmarkStart w:id="147" w:name="_Toc83393226"/>
      <w:r>
        <w:rPr>
          <w:rFonts w:hint="eastAsia" w:ascii="微软雅黑" w:hAnsi="微软雅黑" w:eastAsia="微软雅黑"/>
          <w:b/>
          <w:sz w:val="24"/>
          <w:szCs w:val="24"/>
          <w:highlight w:val="none"/>
        </w:rPr>
        <w:t>附件7：近三年</w:t>
      </w:r>
      <w:r>
        <w:rPr>
          <w:rFonts w:ascii="微软雅黑" w:hAnsi="微软雅黑" w:eastAsia="微软雅黑"/>
          <w:b/>
          <w:sz w:val="24"/>
          <w:szCs w:val="24"/>
          <w:highlight w:val="none"/>
        </w:rPr>
        <w:t>未受过其他处罚的承诺函及证明材料</w:t>
      </w:r>
    </w:p>
    <w:p w14:paraId="2894F79F">
      <w:pPr>
        <w:adjustRightInd w:val="0"/>
        <w:snapToGrid w:val="0"/>
        <w:spacing w:line="360" w:lineRule="auto"/>
        <w:ind w:firstLine="480" w:firstLineChars="200"/>
        <w:rPr>
          <w:rFonts w:ascii="仿宋_GB2312" w:hAnsi="微软雅黑"/>
          <w:sz w:val="24"/>
          <w:szCs w:val="24"/>
          <w:highlight w:val="none"/>
        </w:rPr>
      </w:pPr>
      <w:r>
        <w:rPr>
          <w:rFonts w:hint="eastAsia" w:ascii="仿宋_GB2312" w:hAnsi="微软雅黑"/>
          <w:sz w:val="24"/>
          <w:szCs w:val="24"/>
          <w:highlight w:val="none"/>
        </w:rPr>
        <w:t>近三年（</w:t>
      </w:r>
      <w:r>
        <w:rPr>
          <w:rFonts w:ascii="仿宋_GB2312" w:hAnsi="微软雅黑"/>
          <w:sz w:val="24"/>
          <w:szCs w:val="24"/>
          <w:highlight w:val="none"/>
        </w:rPr>
        <w:t>20</w:t>
      </w:r>
      <w:r>
        <w:rPr>
          <w:rFonts w:hint="eastAsia" w:ascii="仿宋_GB2312" w:hAnsi="微软雅黑"/>
          <w:sz w:val="24"/>
          <w:szCs w:val="24"/>
          <w:highlight w:val="none"/>
        </w:rPr>
        <w:t>23</w:t>
      </w:r>
      <w:r>
        <w:rPr>
          <w:rFonts w:ascii="仿宋_GB2312" w:hAnsi="微软雅黑"/>
          <w:sz w:val="24"/>
          <w:szCs w:val="24"/>
          <w:highlight w:val="none"/>
        </w:rPr>
        <w:t>.1-202</w:t>
      </w:r>
      <w:r>
        <w:rPr>
          <w:rFonts w:hint="eastAsia" w:ascii="仿宋_GB2312" w:hAnsi="微软雅黑"/>
          <w:sz w:val="24"/>
          <w:szCs w:val="24"/>
          <w:highlight w:val="none"/>
        </w:rPr>
        <w:t>5</w:t>
      </w:r>
      <w:r>
        <w:rPr>
          <w:rFonts w:ascii="仿宋_GB2312" w:hAnsi="微软雅黑"/>
          <w:sz w:val="24"/>
          <w:szCs w:val="24"/>
          <w:highlight w:val="none"/>
        </w:rPr>
        <w:t>.1</w:t>
      </w:r>
      <w:r>
        <w:rPr>
          <w:rFonts w:hint="eastAsia" w:ascii="仿宋_GB2312" w:hAnsi="微软雅黑"/>
          <w:sz w:val="24"/>
          <w:szCs w:val="24"/>
          <w:highlight w:val="none"/>
        </w:rPr>
        <w:t>2</w:t>
      </w:r>
      <w:r>
        <w:rPr>
          <w:rFonts w:ascii="仿宋_GB2312" w:hAnsi="微软雅黑"/>
          <w:sz w:val="24"/>
          <w:szCs w:val="24"/>
          <w:highlight w:val="none"/>
        </w:rPr>
        <w:t>）是否</w:t>
      </w:r>
      <w:r>
        <w:rPr>
          <w:rFonts w:hint="eastAsia" w:ascii="仿宋_GB2312" w:hAnsi="微软雅黑"/>
          <w:sz w:val="24"/>
          <w:szCs w:val="24"/>
          <w:highlight w:val="none"/>
        </w:rPr>
        <w:t>受到证监会、交易所或其他监管机构处罚</w:t>
      </w:r>
      <w:r>
        <w:rPr>
          <w:rFonts w:ascii="仿宋_GB2312" w:hAnsi="微软雅黑"/>
          <w:sz w:val="24"/>
          <w:szCs w:val="24"/>
          <w:highlight w:val="none"/>
        </w:rPr>
        <w:t>的相关截图证明</w:t>
      </w:r>
      <w:r>
        <w:rPr>
          <w:rFonts w:hint="eastAsia" w:ascii="仿宋_GB2312" w:hAnsi="微软雅黑"/>
          <w:sz w:val="24"/>
          <w:szCs w:val="24"/>
          <w:highlight w:val="none"/>
        </w:rPr>
        <w:t>，如无相关问题，请提供承诺函。</w:t>
      </w:r>
    </w:p>
    <w:p w14:paraId="5C5D3624">
      <w:pPr>
        <w:rPr>
          <w:highlight w:val="none"/>
        </w:rPr>
      </w:pPr>
      <w:r>
        <w:rPr>
          <w:highlight w:val="none"/>
        </w:rPr>
        <w:br w:type="page"/>
      </w:r>
    </w:p>
    <w:bookmarkEnd w:id="147"/>
    <w:p w14:paraId="3936F915">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b/>
          <w:sz w:val="24"/>
          <w:szCs w:val="24"/>
          <w:highlight w:val="none"/>
        </w:rPr>
        <w:t>附件</w:t>
      </w:r>
      <w:r>
        <w:rPr>
          <w:rFonts w:ascii="微软雅黑" w:hAnsi="微软雅黑" w:eastAsia="微软雅黑"/>
          <w:b/>
          <w:sz w:val="24"/>
          <w:szCs w:val="24"/>
          <w:highlight w:val="none"/>
        </w:rPr>
        <w:t>8：</w:t>
      </w:r>
      <w:r>
        <w:rPr>
          <w:rFonts w:hint="eastAsia" w:ascii="微软雅黑" w:hAnsi="微软雅黑" w:eastAsia="微软雅黑"/>
          <w:b/>
          <w:sz w:val="24"/>
          <w:szCs w:val="24"/>
          <w:highlight w:val="none"/>
        </w:rPr>
        <w:t>反腐败承诺书</w:t>
      </w:r>
    </w:p>
    <w:p w14:paraId="124E0DDB">
      <w:pPr>
        <w:adjustRightInd w:val="0"/>
        <w:snapToGrid w:val="0"/>
        <w:spacing w:line="6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反腐败承诺书（乙方）</w:t>
      </w:r>
    </w:p>
    <w:p w14:paraId="4CDAB162">
      <w:pPr>
        <w:adjustRightInd w:val="0"/>
        <w:snapToGrid w:val="0"/>
        <w:spacing w:line="600" w:lineRule="exact"/>
        <w:jc w:val="center"/>
        <w:rPr>
          <w:rFonts w:ascii="微软雅黑" w:hAnsi="微软雅黑" w:eastAsia="微软雅黑" w:cs="黑体"/>
          <w:color w:val="000000" w:themeColor="text1"/>
          <w:sz w:val="36"/>
          <w:szCs w:val="36"/>
          <w:highlight w:val="none"/>
          <w14:textFill>
            <w14:solidFill>
              <w14:schemeClr w14:val="tx1"/>
            </w14:solidFill>
          </w14:textFill>
        </w:rPr>
      </w:pPr>
    </w:p>
    <w:p w14:paraId="129C43AF">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为营造守法诚信、廉洁高效的工作环境，防止违规违纪行为的发生，我公司郑重承诺如下：</w:t>
      </w:r>
    </w:p>
    <w:p w14:paraId="4B74EB61">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1.我公司不会以任何形式向贵司工作人员及其亲属、特定关系人（以下简称贵司相关人员）支付回扣、手续费等好处费。</w:t>
      </w:r>
    </w:p>
    <w:p w14:paraId="2738C2B9">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2.我公司不会以任何形式向贵司相关人员赠送礼品礼金、有价证券等，不会为其报销应由个人支付的各种费用，不会将钱物借给贵司相关人员。</w:t>
      </w:r>
    </w:p>
    <w:p w14:paraId="61868B1C">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3.我公司不会以考察、参观、洽谈业务、签订合同等借口，邀请贵司相关人员参加可能对合同履行有影响的宴请、外出旅游、各种娱乐活动。</w:t>
      </w:r>
    </w:p>
    <w:p w14:paraId="11F298FF">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4.我公司不会为贵司相关人员在其住房装修、婚丧嫁娶、亲属工作安排等方面提供各种方便。</w:t>
      </w:r>
    </w:p>
    <w:p w14:paraId="49F9F0E3">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5.我公司不会为谋取不正当利益与贵司相关人员就合作关系的事项进行私下商谈或者达成利益默契。</w:t>
      </w:r>
    </w:p>
    <w:p w14:paraId="1F78CECB">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6.我公司不会通过其他任何方式，为贵司相关人员谋取不正当利益。</w:t>
      </w:r>
    </w:p>
    <w:p w14:paraId="711ACCDD">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我司若发现贵司工作人员在业务活动中有违反贵司《采购项目廉洁自律手册》的行为，我司将予以拒绝并要求贵司工作人员予以纠正。对于无法拒绝或贵司工作人员不予纠正的，我司将及时向中国纺织纪委举报。若贵司纪委按照有关法律法规规定，向我司有关人员进行询问、调查，我司有关人员将予以协助，并如实及时提供相关线索、证据和资料。</w:t>
      </w:r>
    </w:p>
    <w:p w14:paraId="5906C12D">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若我公司有关人员违反本《反腐败承诺书》，我司愿接受贵司责令整改、暂停业务往来、取消业务往来、纳入“合作方黑名单”等处理，并接受国家监察机关或司法机关依纪依法作出的任何处理。</w:t>
      </w:r>
    </w:p>
    <w:p w14:paraId="6313EECE">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特此承诺。</w:t>
      </w:r>
    </w:p>
    <w:p w14:paraId="24516497">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p>
    <w:p w14:paraId="7AA5BE33">
      <w:pPr>
        <w:adjustRightInd w:val="0"/>
        <w:snapToGrid w:val="0"/>
        <w:spacing w:line="440" w:lineRule="exact"/>
        <w:ind w:firstLine="480" w:firstLineChars="200"/>
        <w:rPr>
          <w:rFonts w:ascii="仿宋_GB2312" w:hAnsi="宋体" w:cs="宋体"/>
          <w:color w:val="000000" w:themeColor="text1"/>
          <w:sz w:val="24"/>
          <w:szCs w:val="24"/>
          <w:highlight w:val="none"/>
          <w14:textFill>
            <w14:solidFill>
              <w14:schemeClr w14:val="tx1"/>
            </w14:solidFill>
          </w14:textFill>
        </w:rPr>
      </w:pPr>
    </w:p>
    <w:p w14:paraId="6E7EA601">
      <w:pPr>
        <w:adjustRightInd w:val="0"/>
        <w:snapToGrid w:val="0"/>
        <w:spacing w:line="440" w:lineRule="exact"/>
        <w:jc w:val="right"/>
        <w:rPr>
          <w:rFonts w:ascii="仿宋_GB2312" w:hAnsi="宋体" w:cs="宋体"/>
          <w:color w:val="000000" w:themeColor="text1"/>
          <w:sz w:val="24"/>
          <w:szCs w:val="24"/>
          <w:highlight w:val="none"/>
          <w14:textFill>
            <w14:solidFill>
              <w14:schemeClr w14:val="tx1"/>
            </w14:solidFill>
          </w14:textFill>
        </w:rPr>
      </w:pPr>
      <w:r>
        <w:rPr>
          <w:rFonts w:hint="eastAsia" w:ascii="仿宋_GB2312" w:hAnsi="宋体" w:cs="宋体"/>
          <w:color w:val="000000" w:themeColor="text1"/>
          <w:sz w:val="24"/>
          <w:szCs w:val="24"/>
          <w:highlight w:val="none"/>
          <w14:textFill>
            <w14:solidFill>
              <w14:schemeClr w14:val="tx1"/>
            </w14:solidFill>
          </w14:textFill>
        </w:rPr>
        <w:t>公司（全称）</w:t>
      </w:r>
    </w:p>
    <w:p w14:paraId="210B8287">
      <w:pPr>
        <w:adjustRightInd w:val="0"/>
        <w:snapToGrid w:val="0"/>
        <w:spacing w:line="440" w:lineRule="exact"/>
        <w:ind w:firstLine="4080" w:firstLineChars="1700"/>
        <w:rPr>
          <w:rFonts w:ascii="仿宋_GB2312" w:hAnsi="宋体" w:cs="宋体"/>
          <w:color w:val="000000" w:themeColor="text1"/>
          <w:sz w:val="24"/>
          <w:szCs w:val="24"/>
          <w:highlight w:val="none"/>
          <w14:textFill>
            <w14:solidFill>
              <w14:schemeClr w14:val="tx1"/>
            </w14:solidFill>
          </w14:textFill>
        </w:rPr>
      </w:pPr>
    </w:p>
    <w:p w14:paraId="36FA19D3">
      <w:pPr>
        <w:adjustRightInd w:val="0"/>
        <w:snapToGrid w:val="0"/>
        <w:spacing w:line="440" w:lineRule="exact"/>
        <w:ind w:firstLine="5520" w:firstLineChars="2300"/>
        <w:rPr>
          <w:rFonts w:ascii="仿宋_GB2312"/>
          <w:sz w:val="24"/>
          <w:szCs w:val="24"/>
          <w:highlight w:val="none"/>
        </w:rPr>
      </w:pPr>
      <w:r>
        <w:rPr>
          <w:rFonts w:ascii="仿宋_GB2312"/>
          <w:sz w:val="24"/>
          <w:szCs w:val="24"/>
          <w:highlight w:val="none"/>
        </w:rPr>
        <w:t>20</w:t>
      </w:r>
      <w:r>
        <w:rPr>
          <w:rFonts w:hint="eastAsia" w:ascii="仿宋_GB2312"/>
          <w:sz w:val="24"/>
          <w:szCs w:val="24"/>
          <w:highlight w:val="none"/>
        </w:rPr>
        <w:t>X</w:t>
      </w:r>
      <w:r>
        <w:rPr>
          <w:rFonts w:ascii="仿宋_GB2312"/>
          <w:sz w:val="24"/>
          <w:szCs w:val="24"/>
          <w:highlight w:val="none"/>
        </w:rPr>
        <w:t>X</w:t>
      </w:r>
      <w:r>
        <w:rPr>
          <w:rFonts w:hint="eastAsia" w:ascii="仿宋_GB2312"/>
          <w:sz w:val="24"/>
          <w:szCs w:val="24"/>
          <w:highlight w:val="none"/>
        </w:rPr>
        <w:t>年X</w:t>
      </w:r>
      <w:r>
        <w:rPr>
          <w:rFonts w:ascii="仿宋_GB2312"/>
          <w:sz w:val="24"/>
          <w:szCs w:val="24"/>
          <w:highlight w:val="none"/>
        </w:rPr>
        <w:t>X</w:t>
      </w:r>
      <w:r>
        <w:rPr>
          <w:rFonts w:hint="eastAsia" w:ascii="仿宋_GB2312"/>
          <w:sz w:val="24"/>
          <w:szCs w:val="24"/>
          <w:highlight w:val="none"/>
        </w:rPr>
        <w:t>月X</w:t>
      </w:r>
      <w:r>
        <w:rPr>
          <w:rFonts w:ascii="仿宋_GB2312"/>
          <w:sz w:val="24"/>
          <w:szCs w:val="24"/>
          <w:highlight w:val="none"/>
        </w:rPr>
        <w:t>X</w:t>
      </w:r>
      <w:r>
        <w:rPr>
          <w:rFonts w:hint="eastAsia" w:ascii="仿宋_GB2312"/>
          <w:sz w:val="24"/>
          <w:szCs w:val="24"/>
          <w:highlight w:val="none"/>
        </w:rPr>
        <w:t>日</w:t>
      </w:r>
    </w:p>
    <w:p w14:paraId="6FADFFA0">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b/>
          <w:sz w:val="24"/>
          <w:szCs w:val="24"/>
          <w:highlight w:val="none"/>
        </w:rPr>
        <w:t>附件</w:t>
      </w:r>
      <w:r>
        <w:rPr>
          <w:rFonts w:ascii="微软雅黑" w:hAnsi="微软雅黑" w:eastAsia="微软雅黑"/>
          <w:b/>
          <w:sz w:val="24"/>
          <w:szCs w:val="24"/>
          <w:highlight w:val="none"/>
        </w:rPr>
        <w:t>9</w:t>
      </w:r>
      <w:r>
        <w:rPr>
          <w:rFonts w:hint="eastAsia" w:ascii="微软雅黑" w:hAnsi="微软雅黑" w:eastAsia="微软雅黑"/>
          <w:b/>
          <w:sz w:val="24"/>
          <w:szCs w:val="24"/>
          <w:highlight w:val="none"/>
        </w:rPr>
        <w:t>：项目经验</w:t>
      </w:r>
    </w:p>
    <w:p w14:paraId="48A52C21">
      <w:pPr>
        <w:spacing w:line="360" w:lineRule="auto"/>
        <w:ind w:firstLine="480" w:firstLineChars="200"/>
        <w:rPr>
          <w:rFonts w:ascii="仿宋_GB2312" w:hAnsi="微软雅黑"/>
          <w:bCs/>
          <w:sz w:val="24"/>
          <w:szCs w:val="21"/>
          <w:highlight w:val="none"/>
        </w:rPr>
      </w:pPr>
      <w:r>
        <w:rPr>
          <w:rFonts w:hint="eastAsia" w:ascii="仿宋_GB2312" w:hAnsi="微软雅黑"/>
          <w:sz w:val="24"/>
          <w:szCs w:val="21"/>
          <w:highlight w:val="none"/>
        </w:rPr>
        <w:t>服务机构需列示近三年内（</w:t>
      </w:r>
      <w:r>
        <w:rPr>
          <w:rFonts w:ascii="仿宋_GB2312" w:hAnsi="微软雅黑"/>
          <w:bCs/>
          <w:sz w:val="24"/>
          <w:szCs w:val="21"/>
          <w:highlight w:val="none"/>
        </w:rPr>
        <w:t>202</w:t>
      </w:r>
      <w:r>
        <w:rPr>
          <w:rFonts w:hint="eastAsia" w:ascii="仿宋_GB2312" w:hAnsi="微软雅黑"/>
          <w:bCs/>
          <w:sz w:val="24"/>
          <w:szCs w:val="21"/>
          <w:highlight w:val="none"/>
        </w:rPr>
        <w:t>3</w:t>
      </w:r>
      <w:r>
        <w:rPr>
          <w:rFonts w:ascii="仿宋_GB2312" w:hAnsi="微软雅黑"/>
          <w:bCs/>
          <w:sz w:val="24"/>
          <w:szCs w:val="21"/>
          <w:highlight w:val="none"/>
        </w:rPr>
        <w:t>.1-202</w:t>
      </w:r>
      <w:r>
        <w:rPr>
          <w:rFonts w:hint="eastAsia" w:ascii="仿宋_GB2312" w:hAnsi="微软雅黑"/>
          <w:bCs/>
          <w:sz w:val="24"/>
          <w:szCs w:val="21"/>
          <w:highlight w:val="none"/>
        </w:rPr>
        <w:t>5</w:t>
      </w:r>
      <w:r>
        <w:rPr>
          <w:rFonts w:ascii="仿宋_GB2312" w:hAnsi="微软雅黑"/>
          <w:bCs/>
          <w:sz w:val="24"/>
          <w:szCs w:val="21"/>
          <w:highlight w:val="none"/>
        </w:rPr>
        <w:t>.</w:t>
      </w:r>
      <w:r>
        <w:rPr>
          <w:rFonts w:hint="eastAsia" w:ascii="仿宋_GB2312" w:hAnsi="微软雅黑"/>
          <w:bCs/>
          <w:sz w:val="24"/>
          <w:szCs w:val="21"/>
          <w:highlight w:val="none"/>
        </w:rPr>
        <w:t>12</w:t>
      </w:r>
      <w:r>
        <w:rPr>
          <w:rFonts w:hint="eastAsia" w:ascii="仿宋_GB2312" w:hAnsi="微软雅黑"/>
          <w:sz w:val="24"/>
          <w:szCs w:val="21"/>
          <w:highlight w:val="none"/>
        </w:rPr>
        <w:t>）承接的境外类似投资项目的评估案例，并附对应项目的合同首尾页（需体现出项目所在地）：</w:t>
      </w:r>
    </w:p>
    <w:tbl>
      <w:tblPr>
        <w:tblStyle w:val="11"/>
        <w:tblW w:w="7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72"/>
        <w:gridCol w:w="2410"/>
        <w:gridCol w:w="1275"/>
      </w:tblGrid>
      <w:tr w14:paraId="1132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685B3395">
            <w:pPr>
              <w:adjustRightInd w:val="0"/>
              <w:snapToGrid w:val="0"/>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序号</w:t>
            </w:r>
          </w:p>
        </w:tc>
        <w:tc>
          <w:tcPr>
            <w:tcW w:w="2972" w:type="dxa"/>
            <w:tcBorders>
              <w:top w:val="single" w:color="auto" w:sz="4" w:space="0"/>
              <w:left w:val="single" w:color="auto" w:sz="4" w:space="0"/>
              <w:bottom w:val="single" w:color="auto" w:sz="4" w:space="0"/>
              <w:right w:val="single" w:color="auto" w:sz="4" w:space="0"/>
            </w:tcBorders>
            <w:vAlign w:val="center"/>
          </w:tcPr>
          <w:p w14:paraId="7A2D0C7E">
            <w:pPr>
              <w:adjustRightInd w:val="0"/>
              <w:snapToGrid w:val="0"/>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24470133">
            <w:pPr>
              <w:adjustRightInd w:val="0"/>
              <w:snapToGrid w:val="0"/>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服务公司名称</w:t>
            </w:r>
          </w:p>
        </w:tc>
        <w:tc>
          <w:tcPr>
            <w:tcW w:w="1275" w:type="dxa"/>
            <w:tcBorders>
              <w:top w:val="single" w:color="auto" w:sz="4" w:space="0"/>
              <w:left w:val="single" w:color="auto" w:sz="4" w:space="0"/>
              <w:bottom w:val="single" w:color="auto" w:sz="4" w:space="0"/>
              <w:right w:val="single" w:color="auto" w:sz="4" w:space="0"/>
            </w:tcBorders>
            <w:vAlign w:val="center"/>
          </w:tcPr>
          <w:p w14:paraId="61A34353">
            <w:pPr>
              <w:adjustRightInd w:val="0"/>
              <w:snapToGrid w:val="0"/>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实施时间</w:t>
            </w:r>
          </w:p>
        </w:tc>
      </w:tr>
      <w:tr w14:paraId="7D1E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5E38B36C">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69EE623">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69B19F0">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3547BAE">
            <w:pPr>
              <w:adjustRightInd w:val="0"/>
              <w:snapToGrid w:val="0"/>
              <w:jc w:val="center"/>
              <w:rPr>
                <w:rFonts w:ascii="微软雅黑" w:hAnsi="微软雅黑" w:eastAsia="微软雅黑"/>
                <w:sz w:val="24"/>
                <w:szCs w:val="24"/>
                <w:highlight w:val="none"/>
              </w:rPr>
            </w:pPr>
          </w:p>
        </w:tc>
      </w:tr>
      <w:tr w14:paraId="7AA1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4C028820">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7D83049">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5069324">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7CD46E3">
            <w:pPr>
              <w:adjustRightInd w:val="0"/>
              <w:snapToGrid w:val="0"/>
              <w:jc w:val="center"/>
              <w:rPr>
                <w:rFonts w:ascii="微软雅黑" w:hAnsi="微软雅黑" w:eastAsia="微软雅黑"/>
                <w:sz w:val="24"/>
                <w:szCs w:val="24"/>
                <w:highlight w:val="none"/>
              </w:rPr>
            </w:pPr>
          </w:p>
        </w:tc>
      </w:tr>
      <w:tr w14:paraId="7355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69F2BE2E">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0B9C40FA">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15EA5DEB">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F7AEFCE">
            <w:pPr>
              <w:adjustRightInd w:val="0"/>
              <w:snapToGrid w:val="0"/>
              <w:jc w:val="center"/>
              <w:rPr>
                <w:rFonts w:ascii="微软雅黑" w:hAnsi="微软雅黑" w:eastAsia="微软雅黑"/>
                <w:sz w:val="24"/>
                <w:szCs w:val="24"/>
                <w:highlight w:val="none"/>
              </w:rPr>
            </w:pPr>
          </w:p>
        </w:tc>
      </w:tr>
      <w:tr w14:paraId="768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7C43C179">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046B3B31">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5B1528B6">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9A9CC0B">
            <w:pPr>
              <w:adjustRightInd w:val="0"/>
              <w:snapToGrid w:val="0"/>
              <w:jc w:val="center"/>
              <w:rPr>
                <w:rFonts w:ascii="微软雅黑" w:hAnsi="微软雅黑" w:eastAsia="微软雅黑"/>
                <w:sz w:val="24"/>
                <w:szCs w:val="24"/>
                <w:highlight w:val="none"/>
              </w:rPr>
            </w:pPr>
          </w:p>
        </w:tc>
      </w:tr>
      <w:tr w14:paraId="5629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072130C9">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368F1082">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4720EB6A">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8DEC6D3">
            <w:pPr>
              <w:adjustRightInd w:val="0"/>
              <w:snapToGrid w:val="0"/>
              <w:jc w:val="center"/>
              <w:rPr>
                <w:rFonts w:ascii="微软雅黑" w:hAnsi="微软雅黑" w:eastAsia="微软雅黑"/>
                <w:sz w:val="24"/>
                <w:szCs w:val="24"/>
                <w:highlight w:val="none"/>
              </w:rPr>
            </w:pPr>
          </w:p>
        </w:tc>
      </w:tr>
      <w:tr w14:paraId="4446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4A239B9B">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10192D4B">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6216F3BB">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8A92E83">
            <w:pPr>
              <w:adjustRightInd w:val="0"/>
              <w:snapToGrid w:val="0"/>
              <w:jc w:val="center"/>
              <w:rPr>
                <w:rFonts w:ascii="微软雅黑" w:hAnsi="微软雅黑" w:eastAsia="微软雅黑"/>
                <w:sz w:val="24"/>
                <w:szCs w:val="24"/>
                <w:highlight w:val="none"/>
              </w:rPr>
            </w:pPr>
          </w:p>
        </w:tc>
      </w:tr>
      <w:tr w14:paraId="16A0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4C13CA95">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15CE4898">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05F8083A">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FEB6796">
            <w:pPr>
              <w:adjustRightInd w:val="0"/>
              <w:snapToGrid w:val="0"/>
              <w:jc w:val="center"/>
              <w:rPr>
                <w:rFonts w:ascii="微软雅黑" w:hAnsi="微软雅黑" w:eastAsia="微软雅黑"/>
                <w:sz w:val="24"/>
                <w:szCs w:val="24"/>
                <w:highlight w:val="none"/>
              </w:rPr>
            </w:pPr>
          </w:p>
        </w:tc>
      </w:tr>
      <w:tr w14:paraId="2B7B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5BED2305">
            <w:pPr>
              <w:adjustRightInd w:val="0"/>
              <w:snapToGrid w:val="0"/>
              <w:jc w:val="center"/>
              <w:rPr>
                <w:rFonts w:ascii="微软雅黑" w:hAnsi="微软雅黑" w:eastAsia="微软雅黑"/>
                <w:sz w:val="24"/>
                <w:szCs w:val="24"/>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42C27B23">
            <w:pPr>
              <w:adjustRightInd w:val="0"/>
              <w:snapToGrid w:val="0"/>
              <w:jc w:val="center"/>
              <w:rPr>
                <w:rFonts w:ascii="微软雅黑" w:hAnsi="微软雅黑" w:eastAsia="微软雅黑"/>
                <w:sz w:val="24"/>
                <w:szCs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343A70E2">
            <w:pPr>
              <w:adjustRightInd w:val="0"/>
              <w:snapToGrid w:val="0"/>
              <w:jc w:val="center"/>
              <w:rPr>
                <w:rFonts w:ascii="微软雅黑" w:hAnsi="微软雅黑" w:eastAsia="微软雅黑"/>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7FB5FB1">
            <w:pPr>
              <w:adjustRightInd w:val="0"/>
              <w:snapToGrid w:val="0"/>
              <w:jc w:val="center"/>
              <w:rPr>
                <w:rFonts w:ascii="微软雅黑" w:hAnsi="微软雅黑" w:eastAsia="微软雅黑"/>
                <w:sz w:val="24"/>
                <w:szCs w:val="24"/>
                <w:highlight w:val="none"/>
              </w:rPr>
            </w:pPr>
          </w:p>
        </w:tc>
      </w:tr>
    </w:tbl>
    <w:p w14:paraId="64614C6A">
      <w:pPr>
        <w:adjustRightInd w:val="0"/>
        <w:snapToGrid w:val="0"/>
        <w:spacing w:line="440" w:lineRule="exact"/>
        <w:ind w:firstLine="5520" w:firstLineChars="2300"/>
        <w:rPr>
          <w:rFonts w:ascii="仿宋_GB2312"/>
          <w:sz w:val="24"/>
          <w:szCs w:val="24"/>
          <w:highlight w:val="none"/>
        </w:rPr>
      </w:pPr>
    </w:p>
    <w:p w14:paraId="23A9CAC8">
      <w:pPr>
        <w:rPr>
          <w:rFonts w:ascii="仿宋_GB2312"/>
          <w:sz w:val="24"/>
          <w:szCs w:val="24"/>
          <w:highlight w:val="none"/>
        </w:rPr>
      </w:pPr>
      <w:r>
        <w:rPr>
          <w:rFonts w:ascii="仿宋_GB2312"/>
          <w:sz w:val="24"/>
          <w:szCs w:val="24"/>
          <w:highlight w:val="none"/>
        </w:rPr>
        <w:br w:type="page"/>
      </w:r>
    </w:p>
    <w:p w14:paraId="6BDD8569">
      <w:pPr>
        <w:keepNext/>
        <w:keepLines/>
        <w:autoSpaceDE w:val="0"/>
        <w:autoSpaceDN w:val="0"/>
        <w:adjustRightInd w:val="0"/>
        <w:spacing w:line="300" w:lineRule="auto"/>
        <w:outlineLvl w:val="1"/>
        <w:rPr>
          <w:rFonts w:ascii="微软雅黑" w:hAnsi="微软雅黑" w:eastAsia="微软雅黑"/>
          <w:b/>
          <w:sz w:val="24"/>
          <w:szCs w:val="24"/>
          <w:highlight w:val="none"/>
        </w:rPr>
      </w:pPr>
      <w:r>
        <w:rPr>
          <w:rFonts w:hint="eastAsia" w:ascii="微软雅黑" w:hAnsi="微软雅黑" w:eastAsia="微软雅黑"/>
          <w:b/>
          <w:sz w:val="24"/>
          <w:szCs w:val="24"/>
          <w:highlight w:val="none"/>
        </w:rPr>
        <w:t>附件</w:t>
      </w:r>
      <w:r>
        <w:rPr>
          <w:rFonts w:ascii="微软雅黑" w:hAnsi="微软雅黑" w:eastAsia="微软雅黑"/>
          <w:b/>
          <w:sz w:val="24"/>
          <w:szCs w:val="24"/>
          <w:highlight w:val="none"/>
        </w:rPr>
        <w:t>10</w:t>
      </w:r>
      <w:r>
        <w:rPr>
          <w:rFonts w:hint="eastAsia" w:ascii="微软雅黑" w:hAnsi="微软雅黑" w:eastAsia="微软雅黑"/>
          <w:b/>
          <w:sz w:val="24"/>
          <w:szCs w:val="24"/>
          <w:highlight w:val="none"/>
        </w:rPr>
        <w:t>：项目团队执业胜任能力情况</w:t>
      </w:r>
    </w:p>
    <w:p w14:paraId="58644311">
      <w:pPr>
        <w:ind w:firstLine="480" w:firstLineChars="200"/>
        <w:rPr>
          <w:rFonts w:ascii="仿宋_GB2312" w:hAnsi="微软雅黑"/>
          <w:sz w:val="24"/>
          <w:szCs w:val="24"/>
          <w:highlight w:val="none"/>
        </w:rPr>
      </w:pPr>
      <w:r>
        <w:rPr>
          <w:rFonts w:hint="eastAsia" w:ascii="仿宋_GB2312" w:hAnsi="微软雅黑"/>
          <w:sz w:val="24"/>
          <w:szCs w:val="24"/>
          <w:highlight w:val="none"/>
        </w:rPr>
        <w:t>项目团队情况，项目总负责人、项目现场负责人以及其他人员执业能力、境外（含越南）评估经验、两阶段评估（长期资产 + 股权）相关经验等情况等情况（需明确列明核心成员是否具备越南项目评估经历）。</w:t>
      </w:r>
    </w:p>
    <w:p w14:paraId="3B8D373B">
      <w:pPr>
        <w:rPr>
          <w:rFonts w:ascii="仿宋_GB2312" w:hAnsi="微软雅黑"/>
          <w:sz w:val="24"/>
          <w:szCs w:val="24"/>
          <w:highlight w:val="none"/>
        </w:rPr>
      </w:pPr>
      <w:r>
        <w:rPr>
          <w:rFonts w:ascii="仿宋_GB2312" w:hAnsi="微软雅黑"/>
          <w:sz w:val="24"/>
          <w:szCs w:val="24"/>
          <w:highlight w:val="none"/>
        </w:rPr>
        <w:br w:type="page"/>
      </w:r>
    </w:p>
    <w:p w14:paraId="341E3CCB">
      <w:pPr>
        <w:keepNext/>
        <w:keepLines/>
        <w:autoSpaceDE w:val="0"/>
        <w:autoSpaceDN w:val="0"/>
        <w:adjustRightInd w:val="0"/>
        <w:spacing w:line="300" w:lineRule="auto"/>
        <w:outlineLvl w:val="1"/>
        <w:rPr>
          <w:rFonts w:ascii="微软雅黑" w:hAnsi="微软雅黑" w:eastAsia="微软雅黑"/>
          <w:b/>
          <w:sz w:val="24"/>
          <w:szCs w:val="24"/>
          <w:highlight w:val="none"/>
        </w:rPr>
      </w:pPr>
      <w:bookmarkStart w:id="148" w:name="_Toc18516"/>
      <w:bookmarkStart w:id="149" w:name="_Toc10804"/>
      <w:bookmarkStart w:id="150" w:name="_Toc2731"/>
      <w:bookmarkStart w:id="151" w:name="_Toc83393227"/>
      <w:r>
        <w:rPr>
          <w:rFonts w:hint="eastAsia" w:ascii="微软雅黑" w:hAnsi="微软雅黑" w:eastAsia="微软雅黑"/>
          <w:b/>
          <w:sz w:val="24"/>
          <w:szCs w:val="24"/>
          <w:highlight w:val="none"/>
        </w:rPr>
        <w:t>附件</w:t>
      </w:r>
      <w:r>
        <w:rPr>
          <w:rFonts w:ascii="微软雅黑" w:hAnsi="微软雅黑" w:eastAsia="微软雅黑"/>
          <w:b/>
          <w:sz w:val="24"/>
          <w:szCs w:val="24"/>
          <w:highlight w:val="none"/>
        </w:rPr>
        <w:t>11</w:t>
      </w:r>
      <w:r>
        <w:rPr>
          <w:rFonts w:hint="eastAsia" w:ascii="微软雅黑" w:hAnsi="微软雅黑" w:eastAsia="微软雅黑"/>
          <w:b/>
          <w:sz w:val="24"/>
          <w:szCs w:val="24"/>
          <w:highlight w:val="none"/>
        </w:rPr>
        <w:t>：</w:t>
      </w:r>
      <w:bookmarkEnd w:id="148"/>
      <w:bookmarkEnd w:id="149"/>
      <w:bookmarkEnd w:id="150"/>
      <w:r>
        <w:rPr>
          <w:rFonts w:hint="eastAsia" w:ascii="微软雅黑" w:hAnsi="微软雅黑" w:eastAsia="微软雅黑"/>
          <w:b/>
          <w:sz w:val="24"/>
          <w:szCs w:val="24"/>
          <w:highlight w:val="none"/>
        </w:rPr>
        <w:t>服务方案</w:t>
      </w:r>
      <w:bookmarkEnd w:id="151"/>
    </w:p>
    <w:p w14:paraId="5CCF1F88">
      <w:pPr>
        <w:ind w:firstLine="480" w:firstLineChars="200"/>
        <w:rPr>
          <w:rFonts w:ascii="微软雅黑" w:hAnsi="微软雅黑" w:eastAsia="微软雅黑"/>
          <w:sz w:val="24"/>
          <w:szCs w:val="24"/>
          <w:highlight w:val="none"/>
        </w:rPr>
      </w:pPr>
      <w:bookmarkStart w:id="152" w:name="_Toc27927"/>
      <w:bookmarkStart w:id="153" w:name="_Toc83393228"/>
      <w:bookmarkStart w:id="154" w:name="_Toc24182"/>
      <w:bookmarkStart w:id="155" w:name="_Toc29941"/>
      <w:r>
        <w:rPr>
          <w:rFonts w:hint="eastAsia" w:ascii="仿宋_GB2312" w:hAnsi="微软雅黑"/>
          <w:sz w:val="24"/>
          <w:szCs w:val="24"/>
          <w:highlight w:val="none"/>
        </w:rPr>
        <w:t xml:space="preserve">包括但不限于：详细说明两阶段评估的实施程序、工作方法、时间及人员安排、项目进度的控制和质量的审核等具体措施（需针对 Sam Woon与 </w:t>
      </w:r>
      <w:r>
        <w:rPr>
          <w:rFonts w:hint="eastAsia" w:ascii="仿宋_GB2312" w:hAnsi="微软雅黑"/>
          <w:sz w:val="24"/>
          <w:szCs w:val="24"/>
          <w:highlight w:val="none"/>
          <w:lang w:eastAsia="zh-CN"/>
        </w:rPr>
        <w:t>B</w:t>
      </w:r>
      <w:r>
        <w:rPr>
          <w:rFonts w:hint="eastAsia" w:ascii="仿宋_GB2312" w:hAnsi="微软雅黑"/>
          <w:sz w:val="24"/>
          <w:szCs w:val="24"/>
          <w:highlight w:val="none"/>
        </w:rPr>
        <w:t xml:space="preserve"> 公司的各自特性制定差异化评估策略，明确第一阶段长期资产评估的重点核查维度、第二阶段股权评估的估值模型选择等核心内容）。</w:t>
      </w:r>
    </w:p>
    <w:p w14:paraId="47E708EC">
      <w:pPr>
        <w:rPr>
          <w:rFonts w:ascii="微软雅黑" w:hAnsi="微软雅黑" w:eastAsia="微软雅黑"/>
          <w:sz w:val="24"/>
          <w:szCs w:val="24"/>
          <w:highlight w:val="none"/>
        </w:rPr>
      </w:pPr>
    </w:p>
    <w:p w14:paraId="67E63B74">
      <w:pPr>
        <w:rPr>
          <w:rFonts w:ascii="微软雅黑" w:hAnsi="微软雅黑" w:eastAsia="微软雅黑"/>
          <w:sz w:val="24"/>
          <w:szCs w:val="24"/>
          <w:highlight w:val="none"/>
        </w:rPr>
      </w:pPr>
    </w:p>
    <w:p w14:paraId="73EAD49C">
      <w:pPr>
        <w:rPr>
          <w:rFonts w:ascii="微软雅黑" w:hAnsi="微软雅黑" w:eastAsia="微软雅黑"/>
          <w:sz w:val="24"/>
          <w:szCs w:val="24"/>
          <w:highlight w:val="none"/>
        </w:rPr>
      </w:pPr>
    </w:p>
    <w:p w14:paraId="748A1690">
      <w:pPr>
        <w:rPr>
          <w:rFonts w:ascii="微软雅黑" w:hAnsi="微软雅黑" w:eastAsia="微软雅黑"/>
          <w:sz w:val="24"/>
          <w:szCs w:val="24"/>
          <w:highlight w:val="none"/>
        </w:rPr>
      </w:pPr>
    </w:p>
    <w:p w14:paraId="5F192049">
      <w:pPr>
        <w:rPr>
          <w:rFonts w:ascii="微软雅黑" w:hAnsi="微软雅黑" w:eastAsia="微软雅黑"/>
          <w:sz w:val="24"/>
          <w:szCs w:val="24"/>
          <w:highlight w:val="none"/>
        </w:rPr>
      </w:pPr>
    </w:p>
    <w:p w14:paraId="34260AB1">
      <w:pPr>
        <w:rPr>
          <w:rFonts w:ascii="微软雅黑" w:hAnsi="微软雅黑" w:eastAsia="微软雅黑"/>
          <w:sz w:val="24"/>
          <w:szCs w:val="24"/>
          <w:highlight w:val="none"/>
        </w:rPr>
      </w:pPr>
    </w:p>
    <w:p w14:paraId="40265BBF">
      <w:pPr>
        <w:rPr>
          <w:rFonts w:ascii="微软雅黑" w:hAnsi="微软雅黑" w:eastAsia="微软雅黑"/>
          <w:sz w:val="24"/>
          <w:szCs w:val="24"/>
          <w:highlight w:val="none"/>
        </w:rPr>
      </w:pPr>
    </w:p>
    <w:p w14:paraId="63FD87E4">
      <w:pPr>
        <w:rPr>
          <w:rFonts w:ascii="微软雅黑" w:hAnsi="微软雅黑" w:eastAsia="微软雅黑"/>
          <w:sz w:val="24"/>
          <w:szCs w:val="24"/>
          <w:highlight w:val="none"/>
        </w:rPr>
      </w:pPr>
    </w:p>
    <w:p w14:paraId="02F9ABB5">
      <w:pPr>
        <w:rPr>
          <w:rFonts w:ascii="微软雅黑" w:hAnsi="微软雅黑" w:eastAsia="微软雅黑"/>
          <w:sz w:val="24"/>
          <w:szCs w:val="24"/>
          <w:highlight w:val="none"/>
        </w:rPr>
      </w:pPr>
    </w:p>
    <w:p w14:paraId="6211A8C9">
      <w:pPr>
        <w:rPr>
          <w:rFonts w:ascii="微软雅黑" w:hAnsi="微软雅黑" w:eastAsia="微软雅黑"/>
          <w:sz w:val="24"/>
          <w:szCs w:val="24"/>
          <w:highlight w:val="none"/>
        </w:rPr>
      </w:pPr>
    </w:p>
    <w:p w14:paraId="3C9328DD">
      <w:pPr>
        <w:rPr>
          <w:rFonts w:ascii="微软雅黑" w:hAnsi="微软雅黑" w:eastAsia="微软雅黑"/>
          <w:sz w:val="24"/>
          <w:szCs w:val="24"/>
          <w:highlight w:val="none"/>
        </w:rPr>
      </w:pPr>
    </w:p>
    <w:p w14:paraId="7FA15F9D">
      <w:pPr>
        <w:rPr>
          <w:rFonts w:ascii="微软雅黑" w:hAnsi="微软雅黑" w:eastAsia="微软雅黑"/>
          <w:sz w:val="24"/>
          <w:szCs w:val="24"/>
          <w:highlight w:val="none"/>
        </w:rPr>
      </w:pPr>
    </w:p>
    <w:p w14:paraId="02E33A8C">
      <w:pPr>
        <w:rPr>
          <w:rFonts w:ascii="微软雅黑" w:hAnsi="微软雅黑" w:eastAsia="微软雅黑"/>
          <w:sz w:val="24"/>
          <w:szCs w:val="24"/>
          <w:highlight w:val="none"/>
        </w:rPr>
      </w:pPr>
    </w:p>
    <w:p w14:paraId="0207E8E9">
      <w:pPr>
        <w:rPr>
          <w:rFonts w:ascii="微软雅黑" w:hAnsi="微软雅黑" w:eastAsia="微软雅黑"/>
          <w:sz w:val="24"/>
          <w:szCs w:val="24"/>
          <w:highlight w:val="none"/>
        </w:rPr>
      </w:pPr>
    </w:p>
    <w:p w14:paraId="46B77B63">
      <w:pPr>
        <w:rPr>
          <w:rFonts w:ascii="微软雅黑" w:hAnsi="微软雅黑" w:eastAsia="微软雅黑"/>
          <w:sz w:val="24"/>
          <w:szCs w:val="24"/>
          <w:highlight w:val="none"/>
        </w:rPr>
      </w:pPr>
    </w:p>
    <w:p w14:paraId="3C6E9F56">
      <w:pPr>
        <w:rPr>
          <w:rFonts w:ascii="微软雅黑" w:hAnsi="微软雅黑" w:eastAsia="微软雅黑"/>
          <w:sz w:val="24"/>
          <w:szCs w:val="24"/>
          <w:highlight w:val="none"/>
        </w:rPr>
      </w:pPr>
    </w:p>
    <w:bookmarkEnd w:id="152"/>
    <w:bookmarkEnd w:id="153"/>
    <w:bookmarkEnd w:id="154"/>
    <w:bookmarkEnd w:id="155"/>
    <w:p w14:paraId="4FA1DF3B">
      <w:pPr>
        <w:keepNext/>
        <w:keepLines/>
        <w:autoSpaceDE w:val="0"/>
        <w:autoSpaceDN w:val="0"/>
        <w:adjustRightInd w:val="0"/>
        <w:spacing w:line="300" w:lineRule="auto"/>
        <w:outlineLvl w:val="1"/>
        <w:rPr>
          <w:rFonts w:ascii="微软雅黑" w:hAnsi="微软雅黑" w:eastAsia="微软雅黑"/>
          <w:b/>
          <w:sz w:val="24"/>
          <w:szCs w:val="24"/>
          <w:highlight w:val="none"/>
        </w:rPr>
      </w:pPr>
      <w:bookmarkStart w:id="156" w:name="_Toc6382"/>
      <w:bookmarkEnd w:id="156"/>
      <w:bookmarkStart w:id="157" w:name="_Toc28777"/>
      <w:bookmarkEnd w:id="157"/>
      <w:bookmarkStart w:id="158" w:name="_Toc83393229"/>
      <w:bookmarkStart w:id="159" w:name="_Toc30639"/>
      <w:r>
        <w:rPr>
          <w:rFonts w:hint="eastAsia" w:ascii="微软雅黑" w:hAnsi="微软雅黑" w:eastAsia="微软雅黑"/>
          <w:b/>
          <w:sz w:val="24"/>
          <w:szCs w:val="24"/>
          <w:highlight w:val="none"/>
        </w:rPr>
        <w:t>附件</w:t>
      </w:r>
      <w:r>
        <w:rPr>
          <w:rFonts w:ascii="微软雅黑" w:hAnsi="微软雅黑" w:eastAsia="微软雅黑"/>
          <w:b/>
          <w:sz w:val="24"/>
          <w:szCs w:val="24"/>
          <w:highlight w:val="none"/>
        </w:rPr>
        <w:t>12</w:t>
      </w:r>
      <w:r>
        <w:rPr>
          <w:rFonts w:hint="eastAsia" w:ascii="微软雅黑" w:hAnsi="微软雅黑" w:eastAsia="微软雅黑"/>
          <w:b/>
          <w:sz w:val="24"/>
          <w:szCs w:val="24"/>
          <w:highlight w:val="none"/>
        </w:rPr>
        <w:t>：报价一览表</w:t>
      </w:r>
      <w:bookmarkEnd w:id="158"/>
    </w:p>
    <w:p w14:paraId="14FBC80C">
      <w:pPr>
        <w:jc w:val="righ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单位：人民币元</w:t>
      </w:r>
    </w:p>
    <w:tbl>
      <w:tblPr>
        <w:tblStyle w:val="11"/>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4653"/>
        <w:gridCol w:w="2175"/>
        <w:gridCol w:w="1694"/>
      </w:tblGrid>
      <w:tr w14:paraId="0D70B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jc w:val="center"/>
        </w:trPr>
        <w:tc>
          <w:tcPr>
            <w:tcW w:w="4653" w:type="dxa"/>
            <w:tcBorders>
              <w:top w:val="single" w:color="auto" w:sz="12" w:space="0"/>
              <w:left w:val="single" w:color="auto" w:sz="12" w:space="0"/>
              <w:bottom w:val="single" w:color="auto" w:sz="6" w:space="0"/>
              <w:right w:val="single" w:color="auto" w:sz="6" w:space="0"/>
            </w:tcBorders>
            <w:vAlign w:val="center"/>
          </w:tcPr>
          <w:p w14:paraId="77449D56">
            <w:pPr>
              <w:adjustRightInd w:val="0"/>
              <w:snapToGrid w:val="0"/>
              <w:jc w:val="center"/>
              <w:rPr>
                <w:rFonts w:ascii="微软雅黑" w:hAnsi="微软雅黑" w:eastAsia="微软雅黑"/>
                <w:b/>
                <w:sz w:val="24"/>
                <w:szCs w:val="24"/>
                <w:highlight w:val="none"/>
              </w:rPr>
            </w:pPr>
            <w:r>
              <w:rPr>
                <w:rFonts w:hint="eastAsia" w:ascii="微软雅黑" w:hAnsi="微软雅黑" w:eastAsia="微软雅黑"/>
                <w:b/>
                <w:sz w:val="24"/>
                <w:szCs w:val="24"/>
                <w:highlight w:val="none"/>
              </w:rPr>
              <w:t>项目名称</w:t>
            </w:r>
          </w:p>
        </w:tc>
        <w:tc>
          <w:tcPr>
            <w:tcW w:w="2175" w:type="dxa"/>
            <w:tcBorders>
              <w:top w:val="single" w:color="auto" w:sz="12" w:space="0"/>
              <w:left w:val="single" w:color="auto" w:sz="6" w:space="0"/>
              <w:bottom w:val="single" w:color="auto" w:sz="6" w:space="0"/>
              <w:right w:val="single" w:color="auto" w:sz="6" w:space="0"/>
            </w:tcBorders>
            <w:vAlign w:val="center"/>
          </w:tcPr>
          <w:p w14:paraId="3CE0D1F2">
            <w:pPr>
              <w:adjustRightInd w:val="0"/>
              <w:snapToGrid w:val="0"/>
              <w:jc w:val="center"/>
              <w:rPr>
                <w:rFonts w:ascii="微软雅黑" w:hAnsi="微软雅黑" w:eastAsia="微软雅黑"/>
                <w:b/>
                <w:sz w:val="24"/>
                <w:szCs w:val="24"/>
                <w:highlight w:val="none"/>
              </w:rPr>
            </w:pPr>
            <w:r>
              <w:rPr>
                <w:rFonts w:hint="eastAsia" w:ascii="微软雅黑" w:hAnsi="微软雅黑" w:eastAsia="微软雅黑"/>
                <w:b/>
                <w:sz w:val="24"/>
                <w:szCs w:val="24"/>
                <w:highlight w:val="none"/>
              </w:rPr>
              <w:t>阶段</w:t>
            </w:r>
          </w:p>
        </w:tc>
        <w:tc>
          <w:tcPr>
            <w:tcW w:w="1694" w:type="dxa"/>
            <w:tcBorders>
              <w:top w:val="single" w:color="auto" w:sz="12" w:space="0"/>
              <w:left w:val="single" w:color="auto" w:sz="6" w:space="0"/>
              <w:bottom w:val="single" w:color="auto" w:sz="6" w:space="0"/>
              <w:right w:val="single" w:color="auto" w:sz="6" w:space="0"/>
            </w:tcBorders>
            <w:vAlign w:val="center"/>
          </w:tcPr>
          <w:p w14:paraId="7D16D067">
            <w:pPr>
              <w:adjustRightInd w:val="0"/>
              <w:snapToGrid w:val="0"/>
              <w:jc w:val="center"/>
              <w:rPr>
                <w:rFonts w:ascii="微软雅黑" w:hAnsi="微软雅黑" w:eastAsia="微软雅黑"/>
                <w:b/>
                <w:sz w:val="24"/>
                <w:szCs w:val="24"/>
                <w:highlight w:val="none"/>
              </w:rPr>
            </w:pPr>
            <w:r>
              <w:rPr>
                <w:rFonts w:hint="eastAsia" w:ascii="微软雅黑" w:hAnsi="微软雅黑" w:eastAsia="微软雅黑"/>
                <w:b/>
                <w:sz w:val="24"/>
                <w:szCs w:val="24"/>
                <w:highlight w:val="none"/>
              </w:rPr>
              <w:t>含税报价</w:t>
            </w:r>
          </w:p>
        </w:tc>
      </w:tr>
      <w:tr w14:paraId="34577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jc w:val="center"/>
        </w:trPr>
        <w:tc>
          <w:tcPr>
            <w:tcW w:w="4653" w:type="dxa"/>
            <w:vMerge w:val="restart"/>
            <w:tcBorders>
              <w:top w:val="single" w:color="auto" w:sz="12" w:space="0"/>
              <w:left w:val="single" w:color="auto" w:sz="12" w:space="0"/>
              <w:right w:val="single" w:color="auto" w:sz="6" w:space="0"/>
            </w:tcBorders>
          </w:tcPr>
          <w:p w14:paraId="0FA9E012">
            <w:pPr>
              <w:adjustRightInd w:val="0"/>
              <w:snapToGrid w:val="0"/>
              <w:jc w:val="center"/>
              <w:rPr>
                <w:rFonts w:ascii="微软雅黑" w:hAnsi="微软雅黑" w:eastAsia="微软雅黑"/>
                <w:b/>
                <w:sz w:val="24"/>
                <w:szCs w:val="24"/>
                <w:highlight w:val="none"/>
              </w:rPr>
            </w:pPr>
            <w:bookmarkStart w:id="160" w:name="OLE_LINK1"/>
            <w:r>
              <w:rPr>
                <w:rFonts w:hint="eastAsia" w:ascii="仿宋" w:hAnsi="仿宋" w:eastAsia="仿宋" w:cs="新宋体"/>
                <w:b/>
                <w:sz w:val="24"/>
                <w:szCs w:val="24"/>
                <w:highlight w:val="none"/>
                <w:lang w:val="zh-CN"/>
              </w:rPr>
              <w:t>福田公司</w:t>
            </w:r>
            <w:bookmarkEnd w:id="160"/>
            <w:r>
              <w:rPr>
                <w:rFonts w:hint="eastAsia" w:ascii="仿宋" w:hAnsi="仿宋" w:eastAsia="仿宋" w:cs="新宋体"/>
                <w:b/>
                <w:sz w:val="24"/>
                <w:szCs w:val="24"/>
                <w:highlight w:val="none"/>
                <w:lang w:val="zh-CN"/>
              </w:rPr>
              <w:t>对越南A公司资产及股权价值评估服务</w:t>
            </w:r>
          </w:p>
        </w:tc>
        <w:tc>
          <w:tcPr>
            <w:tcW w:w="2175" w:type="dxa"/>
            <w:tcBorders>
              <w:top w:val="single" w:color="auto" w:sz="12" w:space="0"/>
              <w:left w:val="single" w:color="auto" w:sz="6" w:space="0"/>
              <w:bottom w:val="single" w:color="auto" w:sz="6" w:space="0"/>
              <w:right w:val="single" w:color="auto" w:sz="6" w:space="0"/>
            </w:tcBorders>
            <w:vAlign w:val="center"/>
          </w:tcPr>
          <w:p w14:paraId="4E1DD657">
            <w:pPr>
              <w:adjustRightInd w:val="0"/>
              <w:snapToGrid w:val="0"/>
              <w:jc w:val="center"/>
              <w:rPr>
                <w:rFonts w:ascii="微软雅黑" w:hAnsi="微软雅黑" w:eastAsia="微软雅黑"/>
                <w:b/>
                <w:sz w:val="24"/>
                <w:szCs w:val="24"/>
                <w:highlight w:val="none"/>
              </w:rPr>
            </w:pPr>
            <w:r>
              <w:rPr>
                <w:rFonts w:hint="eastAsia" w:ascii="仿宋" w:hAnsi="微软雅黑" w:eastAsia="仿宋"/>
                <w:b/>
                <w:sz w:val="24"/>
                <w:szCs w:val="24"/>
                <w:highlight w:val="none"/>
              </w:rPr>
              <w:t>第一阶段</w:t>
            </w:r>
          </w:p>
        </w:tc>
        <w:tc>
          <w:tcPr>
            <w:tcW w:w="1694" w:type="dxa"/>
            <w:tcBorders>
              <w:top w:val="single" w:color="auto" w:sz="12" w:space="0"/>
              <w:left w:val="single" w:color="auto" w:sz="6" w:space="0"/>
              <w:bottom w:val="single" w:color="auto" w:sz="6" w:space="0"/>
              <w:right w:val="single" w:color="auto" w:sz="6" w:space="0"/>
            </w:tcBorders>
            <w:vAlign w:val="center"/>
          </w:tcPr>
          <w:p w14:paraId="630949F5">
            <w:pPr>
              <w:adjustRightInd w:val="0"/>
              <w:snapToGrid w:val="0"/>
              <w:jc w:val="center"/>
              <w:rPr>
                <w:rFonts w:ascii="微软雅黑" w:hAnsi="微软雅黑" w:eastAsia="微软雅黑"/>
                <w:b/>
                <w:sz w:val="24"/>
                <w:szCs w:val="24"/>
                <w:highlight w:val="none"/>
              </w:rPr>
            </w:pPr>
          </w:p>
        </w:tc>
      </w:tr>
      <w:tr w14:paraId="1EDED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653" w:type="dxa"/>
            <w:vMerge w:val="continue"/>
            <w:tcBorders>
              <w:left w:val="single" w:color="auto" w:sz="12" w:space="0"/>
              <w:right w:val="single" w:color="auto" w:sz="6" w:space="0"/>
            </w:tcBorders>
          </w:tcPr>
          <w:p w14:paraId="5E351962">
            <w:pPr>
              <w:adjustRightInd w:val="0"/>
              <w:snapToGrid w:val="0"/>
              <w:jc w:val="center"/>
              <w:rPr>
                <w:rFonts w:ascii="仿宋" w:hAnsi="仿宋" w:eastAsia="仿宋"/>
                <w:sz w:val="24"/>
                <w:szCs w:val="24"/>
                <w:highlight w:val="none"/>
              </w:rPr>
            </w:pPr>
          </w:p>
        </w:tc>
        <w:tc>
          <w:tcPr>
            <w:tcW w:w="2175" w:type="dxa"/>
            <w:tcBorders>
              <w:top w:val="single" w:color="auto" w:sz="6" w:space="0"/>
              <w:left w:val="single" w:color="auto" w:sz="6" w:space="0"/>
              <w:bottom w:val="single" w:color="auto" w:sz="6" w:space="0"/>
              <w:right w:val="single" w:color="auto" w:sz="6" w:space="0"/>
            </w:tcBorders>
            <w:vAlign w:val="center"/>
          </w:tcPr>
          <w:p w14:paraId="2A979956">
            <w:pPr>
              <w:adjustRightInd w:val="0"/>
              <w:snapToGrid w:val="0"/>
              <w:jc w:val="center"/>
              <w:rPr>
                <w:rFonts w:ascii="仿宋" w:hAnsi="微软雅黑" w:eastAsia="仿宋"/>
                <w:b/>
                <w:sz w:val="24"/>
                <w:szCs w:val="24"/>
                <w:highlight w:val="none"/>
              </w:rPr>
            </w:pPr>
            <w:r>
              <w:rPr>
                <w:rFonts w:hint="eastAsia" w:ascii="仿宋" w:hAnsi="微软雅黑" w:eastAsia="仿宋"/>
                <w:b/>
                <w:sz w:val="24"/>
                <w:szCs w:val="24"/>
                <w:highlight w:val="none"/>
              </w:rPr>
              <w:t>第二阶段</w:t>
            </w:r>
          </w:p>
        </w:tc>
        <w:tc>
          <w:tcPr>
            <w:tcW w:w="1694" w:type="dxa"/>
            <w:tcBorders>
              <w:top w:val="single" w:color="auto" w:sz="6" w:space="0"/>
              <w:left w:val="single" w:color="auto" w:sz="6" w:space="0"/>
              <w:bottom w:val="single" w:color="auto" w:sz="6" w:space="0"/>
              <w:right w:val="single" w:color="auto" w:sz="6" w:space="0"/>
            </w:tcBorders>
            <w:vAlign w:val="center"/>
          </w:tcPr>
          <w:p w14:paraId="7A877737">
            <w:pPr>
              <w:adjustRightInd w:val="0"/>
              <w:snapToGrid w:val="0"/>
              <w:jc w:val="center"/>
              <w:rPr>
                <w:rFonts w:ascii="仿宋" w:hAnsi="微软雅黑" w:eastAsia="仿宋"/>
                <w:b/>
                <w:sz w:val="24"/>
                <w:szCs w:val="24"/>
                <w:highlight w:val="none"/>
              </w:rPr>
            </w:pPr>
          </w:p>
        </w:tc>
      </w:tr>
      <w:tr w14:paraId="4344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653" w:type="dxa"/>
            <w:vMerge w:val="restart"/>
            <w:tcBorders>
              <w:top w:val="single" w:color="auto" w:sz="6" w:space="0"/>
              <w:left w:val="single" w:color="auto" w:sz="12" w:space="0"/>
              <w:right w:val="single" w:color="auto" w:sz="6" w:space="0"/>
            </w:tcBorders>
            <w:vAlign w:val="center"/>
          </w:tcPr>
          <w:p w14:paraId="1A4043FB">
            <w:pPr>
              <w:adjustRightInd w:val="0"/>
              <w:snapToGrid w:val="0"/>
              <w:jc w:val="center"/>
              <w:rPr>
                <w:rFonts w:ascii="仿宋" w:hAnsi="仿宋" w:eastAsia="仿宋" w:cs="新宋体"/>
                <w:b/>
                <w:sz w:val="24"/>
                <w:szCs w:val="24"/>
                <w:highlight w:val="none"/>
                <w:lang w:val="zh-CN"/>
              </w:rPr>
            </w:pPr>
            <w:r>
              <w:rPr>
                <w:rFonts w:hint="eastAsia" w:ascii="仿宋" w:hAnsi="仿宋" w:eastAsia="仿宋" w:cs="新宋体"/>
                <w:b/>
                <w:sz w:val="24"/>
                <w:szCs w:val="24"/>
                <w:highlight w:val="none"/>
                <w:lang w:val="zh-CN"/>
              </w:rPr>
              <w:t>福田公司对越南B</w:t>
            </w:r>
            <w:r>
              <w:rPr>
                <w:rFonts w:ascii="仿宋" w:hAnsi="仿宋" w:eastAsia="仿宋" w:cs="新宋体"/>
                <w:b/>
                <w:sz w:val="24"/>
                <w:szCs w:val="24"/>
                <w:highlight w:val="none"/>
                <w:lang w:val="zh-CN"/>
              </w:rPr>
              <w:t xml:space="preserve"> </w:t>
            </w:r>
            <w:r>
              <w:rPr>
                <w:rFonts w:hint="eastAsia" w:ascii="仿宋" w:hAnsi="仿宋" w:eastAsia="仿宋" w:cs="新宋体"/>
                <w:b/>
                <w:sz w:val="24"/>
                <w:szCs w:val="24"/>
                <w:highlight w:val="none"/>
                <w:lang w:val="zh-CN"/>
              </w:rPr>
              <w:t>公司资产及股权价值评估服务</w:t>
            </w:r>
          </w:p>
        </w:tc>
        <w:tc>
          <w:tcPr>
            <w:tcW w:w="2175" w:type="dxa"/>
            <w:tcBorders>
              <w:top w:val="single" w:color="auto" w:sz="6" w:space="0"/>
              <w:left w:val="single" w:color="auto" w:sz="6" w:space="0"/>
              <w:bottom w:val="single" w:color="auto" w:sz="6" w:space="0"/>
              <w:right w:val="single" w:color="auto" w:sz="6" w:space="0"/>
            </w:tcBorders>
            <w:vAlign w:val="center"/>
          </w:tcPr>
          <w:p w14:paraId="4C47933A">
            <w:pPr>
              <w:adjustRightInd w:val="0"/>
              <w:snapToGrid w:val="0"/>
              <w:jc w:val="center"/>
              <w:rPr>
                <w:rFonts w:ascii="仿宋" w:hAnsi="微软雅黑" w:eastAsia="仿宋"/>
                <w:b/>
                <w:sz w:val="24"/>
                <w:szCs w:val="24"/>
                <w:highlight w:val="none"/>
              </w:rPr>
            </w:pPr>
            <w:r>
              <w:rPr>
                <w:rFonts w:hint="eastAsia" w:ascii="仿宋" w:hAnsi="微软雅黑" w:eastAsia="仿宋"/>
                <w:b/>
                <w:sz w:val="24"/>
                <w:szCs w:val="24"/>
                <w:highlight w:val="none"/>
              </w:rPr>
              <w:t>第一阶段</w:t>
            </w:r>
          </w:p>
        </w:tc>
        <w:tc>
          <w:tcPr>
            <w:tcW w:w="1694" w:type="dxa"/>
            <w:tcBorders>
              <w:top w:val="single" w:color="auto" w:sz="6" w:space="0"/>
              <w:left w:val="single" w:color="auto" w:sz="6" w:space="0"/>
              <w:bottom w:val="single" w:color="auto" w:sz="6" w:space="0"/>
              <w:right w:val="single" w:color="auto" w:sz="6" w:space="0"/>
            </w:tcBorders>
            <w:vAlign w:val="center"/>
          </w:tcPr>
          <w:p w14:paraId="0B214387">
            <w:pPr>
              <w:adjustRightInd w:val="0"/>
              <w:snapToGrid w:val="0"/>
              <w:jc w:val="center"/>
              <w:rPr>
                <w:rFonts w:ascii="仿宋" w:hAnsi="微软雅黑" w:eastAsia="仿宋"/>
                <w:b/>
                <w:sz w:val="24"/>
                <w:szCs w:val="24"/>
                <w:highlight w:val="none"/>
              </w:rPr>
            </w:pPr>
          </w:p>
        </w:tc>
      </w:tr>
      <w:tr w14:paraId="01E14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653" w:type="dxa"/>
            <w:vMerge w:val="continue"/>
            <w:tcBorders>
              <w:left w:val="single" w:color="auto" w:sz="12" w:space="0"/>
              <w:right w:val="single" w:color="auto" w:sz="6" w:space="0"/>
            </w:tcBorders>
            <w:vAlign w:val="center"/>
          </w:tcPr>
          <w:p w14:paraId="1FB1C817">
            <w:pPr>
              <w:adjustRightInd w:val="0"/>
              <w:snapToGrid w:val="0"/>
              <w:jc w:val="center"/>
              <w:rPr>
                <w:rFonts w:ascii="仿宋" w:hAnsi="仿宋" w:eastAsia="仿宋" w:cs="新宋体"/>
                <w:b/>
                <w:sz w:val="24"/>
                <w:szCs w:val="24"/>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8BCC19">
            <w:pPr>
              <w:adjustRightInd w:val="0"/>
              <w:snapToGrid w:val="0"/>
              <w:jc w:val="center"/>
              <w:rPr>
                <w:rFonts w:ascii="仿宋" w:hAnsi="微软雅黑" w:eastAsia="仿宋"/>
                <w:b/>
                <w:sz w:val="24"/>
                <w:szCs w:val="24"/>
                <w:highlight w:val="none"/>
              </w:rPr>
            </w:pPr>
            <w:r>
              <w:rPr>
                <w:rFonts w:hint="eastAsia" w:ascii="仿宋" w:hAnsi="微软雅黑" w:eastAsia="仿宋"/>
                <w:b/>
                <w:sz w:val="24"/>
                <w:szCs w:val="24"/>
                <w:highlight w:val="none"/>
              </w:rPr>
              <w:t>第二阶段</w:t>
            </w:r>
          </w:p>
        </w:tc>
        <w:tc>
          <w:tcPr>
            <w:tcW w:w="1694" w:type="dxa"/>
            <w:tcBorders>
              <w:top w:val="single" w:color="auto" w:sz="6" w:space="0"/>
              <w:left w:val="single" w:color="auto" w:sz="6" w:space="0"/>
              <w:bottom w:val="single" w:color="auto" w:sz="6" w:space="0"/>
              <w:right w:val="single" w:color="auto" w:sz="6" w:space="0"/>
            </w:tcBorders>
            <w:vAlign w:val="center"/>
          </w:tcPr>
          <w:p w14:paraId="27BA50A2">
            <w:pPr>
              <w:adjustRightInd w:val="0"/>
              <w:snapToGrid w:val="0"/>
              <w:jc w:val="center"/>
              <w:rPr>
                <w:rFonts w:ascii="仿宋" w:hAnsi="微软雅黑" w:eastAsia="仿宋"/>
                <w:b/>
                <w:sz w:val="24"/>
                <w:szCs w:val="24"/>
                <w:highlight w:val="none"/>
              </w:rPr>
            </w:pPr>
          </w:p>
        </w:tc>
      </w:tr>
      <w:tr w14:paraId="68D95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828" w:type="dxa"/>
            <w:gridSpan w:val="2"/>
            <w:tcBorders>
              <w:left w:val="single" w:color="auto" w:sz="12" w:space="0"/>
              <w:bottom w:val="single" w:color="auto" w:sz="12" w:space="0"/>
              <w:right w:val="single" w:color="auto" w:sz="6" w:space="0"/>
            </w:tcBorders>
            <w:vAlign w:val="center"/>
          </w:tcPr>
          <w:p w14:paraId="36BAE3D1">
            <w:pPr>
              <w:adjustRightInd w:val="0"/>
              <w:snapToGrid w:val="0"/>
              <w:jc w:val="center"/>
              <w:rPr>
                <w:rFonts w:ascii="仿宋" w:hAnsi="微软雅黑" w:eastAsia="仿宋"/>
                <w:b/>
                <w:sz w:val="24"/>
                <w:szCs w:val="24"/>
                <w:highlight w:val="none"/>
              </w:rPr>
            </w:pPr>
            <w:r>
              <w:rPr>
                <w:rFonts w:hint="eastAsia" w:ascii="仿宋" w:hAnsi="微软雅黑" w:eastAsia="仿宋"/>
                <w:b/>
                <w:sz w:val="24"/>
                <w:szCs w:val="24"/>
                <w:highlight w:val="none"/>
              </w:rPr>
              <w:t>合计</w:t>
            </w:r>
          </w:p>
        </w:tc>
        <w:tc>
          <w:tcPr>
            <w:tcW w:w="1694" w:type="dxa"/>
            <w:tcBorders>
              <w:top w:val="single" w:color="auto" w:sz="6" w:space="0"/>
              <w:left w:val="single" w:color="auto" w:sz="6" w:space="0"/>
              <w:bottom w:val="single" w:color="auto" w:sz="12" w:space="0"/>
              <w:right w:val="single" w:color="auto" w:sz="6" w:space="0"/>
            </w:tcBorders>
            <w:vAlign w:val="center"/>
          </w:tcPr>
          <w:p w14:paraId="40ABE287">
            <w:pPr>
              <w:adjustRightInd w:val="0"/>
              <w:snapToGrid w:val="0"/>
              <w:jc w:val="center"/>
              <w:rPr>
                <w:rFonts w:ascii="仿宋" w:hAnsi="微软雅黑" w:eastAsia="仿宋"/>
                <w:b/>
                <w:sz w:val="24"/>
                <w:szCs w:val="24"/>
                <w:highlight w:val="none"/>
              </w:rPr>
            </w:pPr>
          </w:p>
        </w:tc>
      </w:tr>
    </w:tbl>
    <w:p w14:paraId="16753B0B">
      <w:pPr>
        <w:adjustRightInd w:val="0"/>
        <w:snapToGrid w:val="0"/>
        <w:spacing w:line="480" w:lineRule="exact"/>
        <w:rPr>
          <w:rFonts w:ascii="微软雅黑" w:hAnsi="微软雅黑" w:eastAsia="微软雅黑"/>
          <w:sz w:val="24"/>
          <w:szCs w:val="24"/>
          <w:highlight w:val="none"/>
        </w:rPr>
      </w:pPr>
    </w:p>
    <w:p w14:paraId="569C6377">
      <w:pPr>
        <w:adjustRightInd w:val="0"/>
        <w:snapToGrid w:val="0"/>
        <w:spacing w:line="480" w:lineRule="exact"/>
        <w:ind w:firstLine="480" w:firstLineChars="200"/>
        <w:rPr>
          <w:rFonts w:ascii="微软雅黑" w:hAnsi="微软雅黑" w:eastAsia="微软雅黑"/>
          <w:sz w:val="24"/>
          <w:szCs w:val="24"/>
          <w:highlight w:val="none"/>
        </w:rPr>
      </w:pPr>
    </w:p>
    <w:p w14:paraId="05EAD260">
      <w:pPr>
        <w:adjustRightInd w:val="0"/>
        <w:snapToGrid w:val="0"/>
        <w:spacing w:line="360" w:lineRule="auto"/>
        <w:rPr>
          <w:rFonts w:ascii="微软雅黑" w:hAnsi="微软雅黑" w:eastAsia="微软雅黑"/>
          <w:sz w:val="24"/>
          <w:szCs w:val="24"/>
          <w:highlight w:val="none"/>
        </w:rPr>
      </w:pPr>
    </w:p>
    <w:p w14:paraId="308C525D">
      <w:pPr>
        <w:adjustRightInd w:val="0"/>
        <w:snapToGrid w:val="0"/>
        <w:spacing w:line="360" w:lineRule="auto"/>
        <w:ind w:firstLine="480" w:firstLineChars="200"/>
        <w:rPr>
          <w:rFonts w:ascii="微软雅黑" w:hAnsi="微软雅黑" w:eastAsia="微软雅黑"/>
          <w:sz w:val="24"/>
          <w:szCs w:val="24"/>
          <w:highlight w:val="none"/>
        </w:rPr>
      </w:pPr>
      <w:r>
        <w:rPr>
          <w:rFonts w:hint="eastAsia" w:ascii="微软雅黑" w:hAnsi="微软雅黑" w:eastAsia="微软雅黑"/>
          <w:sz w:val="24"/>
          <w:szCs w:val="24"/>
          <w:highlight w:val="none"/>
        </w:rPr>
        <w:t>服务机构名称（盖章）：</w:t>
      </w:r>
    </w:p>
    <w:p w14:paraId="0D553021">
      <w:pPr>
        <w:adjustRightInd w:val="0"/>
        <w:snapToGrid w:val="0"/>
        <w:spacing w:line="360" w:lineRule="auto"/>
        <w:ind w:firstLine="480" w:firstLineChars="200"/>
        <w:rPr>
          <w:rFonts w:ascii="微软雅黑" w:hAnsi="微软雅黑" w:eastAsia="微软雅黑"/>
          <w:sz w:val="24"/>
          <w:szCs w:val="24"/>
          <w:highlight w:val="none"/>
        </w:rPr>
      </w:pPr>
      <w:r>
        <w:rPr>
          <w:rFonts w:hint="eastAsia" w:ascii="微软雅黑" w:hAnsi="微软雅黑" w:eastAsia="微软雅黑"/>
          <w:sz w:val="24"/>
          <w:szCs w:val="24"/>
          <w:highlight w:val="none"/>
        </w:rPr>
        <w:t>服务机构授权代表签字：</w:t>
      </w:r>
    </w:p>
    <w:p w14:paraId="73C20181">
      <w:pPr>
        <w:adjustRightInd w:val="0"/>
        <w:snapToGrid w:val="0"/>
        <w:spacing w:line="360" w:lineRule="auto"/>
        <w:ind w:firstLine="480" w:firstLineChars="200"/>
        <w:rPr>
          <w:rFonts w:ascii="微软雅黑" w:hAnsi="微软雅黑" w:eastAsia="微软雅黑"/>
          <w:sz w:val="24"/>
          <w:szCs w:val="24"/>
          <w:highlight w:val="none"/>
        </w:rPr>
      </w:pPr>
      <w:r>
        <w:rPr>
          <w:rFonts w:hint="eastAsia" w:ascii="微软雅黑" w:hAnsi="微软雅黑" w:eastAsia="微软雅黑"/>
          <w:sz w:val="24"/>
          <w:szCs w:val="24"/>
          <w:highlight w:val="none"/>
        </w:rPr>
        <w:t>日期：</w:t>
      </w:r>
      <w:bookmarkEnd w:id="159"/>
    </w:p>
    <w:p w14:paraId="110BA297">
      <w:pPr>
        <w:rPr>
          <w:highlight w:val="none"/>
        </w:rPr>
      </w:pPr>
      <w:r>
        <w:rPr>
          <w:highlight w:val="none"/>
        </w:rPr>
        <w:br w:type="page"/>
      </w:r>
    </w:p>
    <w:p w14:paraId="3776E993">
      <w:pPr>
        <w:rPr>
          <w:b/>
          <w:sz w:val="21"/>
          <w:szCs w:val="21"/>
          <w:highlight w:val="none"/>
        </w:rPr>
      </w:pPr>
      <w:r>
        <w:rPr>
          <w:rFonts w:hint="eastAsia"/>
          <w:b/>
          <w:sz w:val="21"/>
          <w:szCs w:val="21"/>
          <w:highlight w:val="none"/>
        </w:rPr>
        <w:t>补充材料</w:t>
      </w:r>
      <w:r>
        <w:rPr>
          <w:b/>
          <w:sz w:val="21"/>
          <w:szCs w:val="21"/>
          <w:highlight w:val="none"/>
        </w:rPr>
        <w:t>1：</w:t>
      </w:r>
      <w:r>
        <w:rPr>
          <w:rFonts w:hint="eastAsia" w:ascii="仿宋" w:hAnsi="仿宋" w:eastAsia="仿宋" w:cs="新宋体"/>
          <w:b/>
          <w:sz w:val="24"/>
          <w:szCs w:val="24"/>
          <w:highlight w:val="none"/>
          <w:lang w:val="zh-CN"/>
        </w:rPr>
        <w:t>A</w:t>
      </w:r>
      <w:r>
        <w:rPr>
          <w:b/>
          <w:sz w:val="21"/>
          <w:szCs w:val="21"/>
          <w:highlight w:val="none"/>
        </w:rPr>
        <w:t>资产负债表（币种：</w:t>
      </w:r>
      <w:r>
        <w:rPr>
          <w:rFonts w:hint="eastAsia"/>
          <w:b/>
          <w:sz w:val="21"/>
          <w:szCs w:val="21"/>
          <w:highlight w:val="none"/>
          <w:lang w:val="en-US" w:eastAsia="zh-CN"/>
        </w:rPr>
        <w:t>越南盾</w:t>
      </w:r>
      <w:r>
        <w:rPr>
          <w:rFonts w:hint="eastAsia"/>
          <w:b/>
          <w:sz w:val="21"/>
          <w:szCs w:val="21"/>
          <w:highlight w:val="none"/>
        </w:rPr>
        <w:t>）</w:t>
      </w:r>
    </w:p>
    <w:p w14:paraId="57EE0BCC">
      <w:pPr>
        <w:rPr>
          <w:highlight w:val="none"/>
        </w:rPr>
      </w:pPr>
      <w:r>
        <w:rPr>
          <w:highlight w:val="none"/>
        </w:rPr>
        <w:drawing>
          <wp:inline distT="0" distB="0" distL="114300" distR="114300">
            <wp:extent cx="5346700" cy="7127240"/>
            <wp:effectExtent l="0" t="0" r="6350"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346700" cy="7127240"/>
                    </a:xfrm>
                    <a:prstGeom prst="rect">
                      <a:avLst/>
                    </a:prstGeom>
                    <a:noFill/>
                    <a:ln>
                      <a:noFill/>
                    </a:ln>
                  </pic:spPr>
                </pic:pic>
              </a:graphicData>
            </a:graphic>
          </wp:inline>
        </w:drawing>
      </w:r>
    </w:p>
    <w:p w14:paraId="71091CD7">
      <w:pPr>
        <w:rPr>
          <w:highlight w:val="none"/>
        </w:rPr>
      </w:pPr>
    </w:p>
    <w:p w14:paraId="6BA379B6">
      <w:pPr>
        <w:rPr>
          <w:highlight w:val="none"/>
        </w:rPr>
      </w:pPr>
    </w:p>
    <w:p w14:paraId="074B7635">
      <w:pPr>
        <w:rPr>
          <w:highlight w:val="none"/>
        </w:rPr>
      </w:pPr>
    </w:p>
    <w:p w14:paraId="67F69B5E">
      <w:pPr>
        <w:rPr>
          <w:highlight w:val="none"/>
        </w:rPr>
      </w:pPr>
    </w:p>
    <w:p w14:paraId="2C4AEABC">
      <w:pPr>
        <w:rPr>
          <w:highlight w:val="none"/>
        </w:rPr>
      </w:pPr>
    </w:p>
    <w:p w14:paraId="3378F2F8">
      <w:pPr>
        <w:rPr>
          <w:rFonts w:hint="eastAsia"/>
          <w:highlight w:val="none"/>
        </w:rPr>
      </w:pPr>
      <w:r>
        <w:rPr>
          <w:rFonts w:hint="eastAsia"/>
          <w:highlight w:val="none"/>
        </w:rPr>
        <w:t>接上一页：</w:t>
      </w:r>
    </w:p>
    <w:p w14:paraId="3C5D0851">
      <w:pPr>
        <w:rPr>
          <w:rFonts w:hint="eastAsia"/>
          <w:highlight w:val="none"/>
        </w:rPr>
      </w:pPr>
      <w:r>
        <w:rPr>
          <w:highlight w:val="none"/>
        </w:rPr>
        <w:drawing>
          <wp:inline distT="0" distB="0" distL="114300" distR="114300">
            <wp:extent cx="5267325" cy="6380480"/>
            <wp:effectExtent l="0" t="0" r="9525" b="127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267325" cy="6380480"/>
                    </a:xfrm>
                    <a:prstGeom prst="rect">
                      <a:avLst/>
                    </a:prstGeom>
                    <a:noFill/>
                    <a:ln>
                      <a:noFill/>
                    </a:ln>
                  </pic:spPr>
                </pic:pic>
              </a:graphicData>
            </a:graphic>
          </wp:inline>
        </w:drawing>
      </w:r>
    </w:p>
    <w:p w14:paraId="09862616">
      <w:pPr>
        <w:rPr>
          <w:rFonts w:hint="eastAsia"/>
          <w:highlight w:val="none"/>
        </w:rPr>
      </w:pPr>
    </w:p>
    <w:p w14:paraId="7DD844FC">
      <w:pPr>
        <w:rPr>
          <w:rFonts w:hint="eastAsia"/>
          <w:highlight w:val="none"/>
        </w:rPr>
      </w:pPr>
    </w:p>
    <w:p w14:paraId="032A0E53">
      <w:pPr>
        <w:rPr>
          <w:highlight w:val="none"/>
        </w:rPr>
      </w:pPr>
    </w:p>
    <w:p w14:paraId="7B35FF07">
      <w:pPr>
        <w:rPr>
          <w:highlight w:val="none"/>
        </w:rPr>
      </w:pPr>
      <w:r>
        <w:rPr>
          <w:highlight w:val="none"/>
        </w:rPr>
        <w:br w:type="page"/>
      </w:r>
    </w:p>
    <w:p w14:paraId="238AB4EE">
      <w:pPr>
        <w:rPr>
          <w:rFonts w:hint="eastAsia"/>
          <w:highlight w:val="none"/>
        </w:rPr>
      </w:pPr>
      <w:r>
        <w:rPr>
          <w:rFonts w:hint="eastAsia"/>
          <w:highlight w:val="none"/>
        </w:rPr>
        <w:t>接上一页</w:t>
      </w:r>
    </w:p>
    <w:p w14:paraId="6A280933">
      <w:pPr>
        <w:rPr>
          <w:rFonts w:hint="eastAsia"/>
          <w:highlight w:val="none"/>
        </w:rPr>
      </w:pPr>
    </w:p>
    <w:p w14:paraId="36694728">
      <w:pPr>
        <w:rPr>
          <w:rFonts w:hint="eastAsia"/>
          <w:b/>
          <w:sz w:val="21"/>
          <w:szCs w:val="21"/>
          <w:highlight w:val="none"/>
        </w:rPr>
      </w:pPr>
      <w:r>
        <w:rPr>
          <w:highlight w:val="none"/>
        </w:rPr>
        <w:drawing>
          <wp:inline distT="0" distB="0" distL="114300" distR="114300">
            <wp:extent cx="5268595" cy="3684905"/>
            <wp:effectExtent l="0" t="0" r="8255" b="107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268595" cy="3684905"/>
                    </a:xfrm>
                    <a:prstGeom prst="rect">
                      <a:avLst/>
                    </a:prstGeom>
                    <a:noFill/>
                    <a:ln>
                      <a:noFill/>
                    </a:ln>
                  </pic:spPr>
                </pic:pic>
              </a:graphicData>
            </a:graphic>
          </wp:inline>
        </w:drawing>
      </w:r>
    </w:p>
    <w:p w14:paraId="3D2C5F2B">
      <w:pPr>
        <w:rPr>
          <w:rFonts w:hint="eastAsia"/>
          <w:b/>
          <w:sz w:val="21"/>
          <w:szCs w:val="21"/>
          <w:highlight w:val="none"/>
        </w:rPr>
      </w:pPr>
    </w:p>
    <w:p w14:paraId="5FFE1118">
      <w:pPr>
        <w:rPr>
          <w:rFonts w:hint="eastAsia"/>
          <w:b/>
          <w:sz w:val="21"/>
          <w:szCs w:val="21"/>
          <w:highlight w:val="none"/>
        </w:rPr>
      </w:pPr>
    </w:p>
    <w:p w14:paraId="23AE2875">
      <w:pPr>
        <w:rPr>
          <w:rFonts w:hint="eastAsia"/>
          <w:b/>
          <w:sz w:val="21"/>
          <w:szCs w:val="21"/>
          <w:highlight w:val="none"/>
        </w:rPr>
      </w:pPr>
    </w:p>
    <w:p w14:paraId="730D330F">
      <w:pPr>
        <w:rPr>
          <w:rFonts w:hint="eastAsia"/>
          <w:b/>
          <w:sz w:val="21"/>
          <w:szCs w:val="21"/>
          <w:highlight w:val="none"/>
        </w:rPr>
      </w:pPr>
    </w:p>
    <w:p w14:paraId="72E576DF">
      <w:pPr>
        <w:rPr>
          <w:rFonts w:hint="eastAsia"/>
          <w:b/>
          <w:sz w:val="21"/>
          <w:szCs w:val="21"/>
          <w:highlight w:val="none"/>
        </w:rPr>
      </w:pPr>
    </w:p>
    <w:p w14:paraId="197F2AA7">
      <w:pPr>
        <w:rPr>
          <w:rFonts w:hint="eastAsia"/>
          <w:b/>
          <w:sz w:val="21"/>
          <w:szCs w:val="21"/>
          <w:highlight w:val="none"/>
        </w:rPr>
      </w:pPr>
    </w:p>
    <w:p w14:paraId="7333F85B">
      <w:pPr>
        <w:rPr>
          <w:rFonts w:hint="eastAsia"/>
          <w:b/>
          <w:sz w:val="21"/>
          <w:szCs w:val="21"/>
          <w:highlight w:val="none"/>
        </w:rPr>
      </w:pPr>
    </w:p>
    <w:p w14:paraId="2495EBF0">
      <w:pPr>
        <w:rPr>
          <w:rFonts w:hint="eastAsia"/>
          <w:b/>
          <w:sz w:val="21"/>
          <w:szCs w:val="21"/>
          <w:highlight w:val="none"/>
        </w:rPr>
      </w:pPr>
    </w:p>
    <w:p w14:paraId="7342939A">
      <w:pPr>
        <w:rPr>
          <w:rFonts w:hint="eastAsia"/>
          <w:b/>
          <w:sz w:val="21"/>
          <w:szCs w:val="21"/>
          <w:highlight w:val="none"/>
        </w:rPr>
      </w:pPr>
    </w:p>
    <w:p w14:paraId="4488BEDE">
      <w:pPr>
        <w:rPr>
          <w:rFonts w:hint="eastAsia"/>
          <w:b/>
          <w:sz w:val="21"/>
          <w:szCs w:val="21"/>
          <w:highlight w:val="none"/>
        </w:rPr>
      </w:pPr>
    </w:p>
    <w:p w14:paraId="613371C1">
      <w:pPr>
        <w:rPr>
          <w:rFonts w:hint="eastAsia"/>
          <w:b/>
          <w:sz w:val="21"/>
          <w:szCs w:val="21"/>
          <w:highlight w:val="none"/>
        </w:rPr>
      </w:pPr>
    </w:p>
    <w:p w14:paraId="58B9CA14">
      <w:pPr>
        <w:rPr>
          <w:rFonts w:hint="eastAsia"/>
          <w:b/>
          <w:sz w:val="21"/>
          <w:szCs w:val="21"/>
          <w:highlight w:val="none"/>
        </w:rPr>
      </w:pPr>
    </w:p>
    <w:p w14:paraId="269F2895">
      <w:pPr>
        <w:rPr>
          <w:rFonts w:hint="eastAsia"/>
          <w:b/>
          <w:sz w:val="21"/>
          <w:szCs w:val="21"/>
          <w:highlight w:val="none"/>
        </w:rPr>
      </w:pPr>
    </w:p>
    <w:p w14:paraId="4104F7D7">
      <w:pPr>
        <w:rPr>
          <w:rFonts w:hint="eastAsia"/>
          <w:b/>
          <w:sz w:val="21"/>
          <w:szCs w:val="21"/>
          <w:highlight w:val="none"/>
        </w:rPr>
      </w:pPr>
    </w:p>
    <w:p w14:paraId="5C6AEBE3">
      <w:pPr>
        <w:rPr>
          <w:rFonts w:hint="eastAsia"/>
          <w:b/>
          <w:sz w:val="21"/>
          <w:szCs w:val="21"/>
          <w:highlight w:val="none"/>
        </w:rPr>
      </w:pPr>
    </w:p>
    <w:p w14:paraId="77CD5D73">
      <w:pPr>
        <w:rPr>
          <w:rFonts w:hint="eastAsia"/>
          <w:b/>
          <w:sz w:val="21"/>
          <w:szCs w:val="21"/>
          <w:highlight w:val="none"/>
        </w:rPr>
      </w:pPr>
    </w:p>
    <w:p w14:paraId="18BABD81">
      <w:pPr>
        <w:rPr>
          <w:rFonts w:hint="eastAsia"/>
          <w:b/>
          <w:sz w:val="21"/>
          <w:szCs w:val="21"/>
          <w:highlight w:val="none"/>
        </w:rPr>
      </w:pPr>
    </w:p>
    <w:p w14:paraId="75F0595D">
      <w:pPr>
        <w:rPr>
          <w:rFonts w:hint="eastAsia"/>
          <w:b/>
          <w:sz w:val="21"/>
          <w:szCs w:val="21"/>
          <w:highlight w:val="none"/>
        </w:rPr>
      </w:pPr>
    </w:p>
    <w:p w14:paraId="1E41A22D">
      <w:pPr>
        <w:rPr>
          <w:b/>
          <w:sz w:val="21"/>
          <w:szCs w:val="21"/>
          <w:highlight w:val="none"/>
        </w:rPr>
      </w:pPr>
      <w:r>
        <w:rPr>
          <w:rFonts w:hint="eastAsia"/>
          <w:b/>
          <w:sz w:val="21"/>
          <w:szCs w:val="21"/>
          <w:highlight w:val="none"/>
        </w:rPr>
        <w:t>补充材料</w:t>
      </w:r>
      <w:r>
        <w:rPr>
          <w:b/>
          <w:sz w:val="21"/>
          <w:szCs w:val="21"/>
          <w:highlight w:val="none"/>
        </w:rPr>
        <w:t>1：</w:t>
      </w:r>
      <w:r>
        <w:rPr>
          <w:rFonts w:hint="eastAsia" w:ascii="仿宋" w:hAnsi="仿宋" w:eastAsia="仿宋" w:cs="新宋体"/>
          <w:b/>
          <w:sz w:val="24"/>
          <w:szCs w:val="24"/>
          <w:highlight w:val="none"/>
          <w:lang w:val="zh-CN"/>
        </w:rPr>
        <w:t>B</w:t>
      </w:r>
      <w:r>
        <w:rPr>
          <w:b/>
          <w:sz w:val="21"/>
          <w:szCs w:val="21"/>
          <w:highlight w:val="none"/>
        </w:rPr>
        <w:t>资产负债表（币种：</w:t>
      </w:r>
      <w:r>
        <w:rPr>
          <w:rFonts w:hint="eastAsia"/>
          <w:b/>
          <w:sz w:val="21"/>
          <w:szCs w:val="21"/>
          <w:highlight w:val="none"/>
          <w:lang w:val="en-US" w:eastAsia="zh-CN"/>
        </w:rPr>
        <w:t>越南盾</w:t>
      </w:r>
      <w:r>
        <w:rPr>
          <w:rFonts w:hint="eastAsia"/>
          <w:b/>
          <w:sz w:val="21"/>
          <w:szCs w:val="21"/>
          <w:highlight w:val="none"/>
        </w:rPr>
        <w:t>）</w:t>
      </w:r>
    </w:p>
    <w:p w14:paraId="76C40FE9">
      <w:pPr>
        <w:rPr>
          <w:rFonts w:hint="eastAsia"/>
          <w:b/>
          <w:sz w:val="21"/>
          <w:szCs w:val="21"/>
          <w:highlight w:val="none"/>
        </w:rPr>
      </w:pPr>
    </w:p>
    <w:p w14:paraId="58CF4C3A">
      <w:pPr>
        <w:rPr>
          <w:rFonts w:hint="eastAsia"/>
          <w:b/>
          <w:sz w:val="21"/>
          <w:szCs w:val="21"/>
          <w:highlight w:val="none"/>
        </w:rPr>
      </w:pPr>
      <w:r>
        <w:rPr>
          <w:highlight w:val="none"/>
        </w:rPr>
        <w:drawing>
          <wp:inline distT="0" distB="0" distL="114300" distR="114300">
            <wp:extent cx="5271135" cy="6416040"/>
            <wp:effectExtent l="0" t="0" r="5715" b="38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5271135" cy="6416040"/>
                    </a:xfrm>
                    <a:prstGeom prst="rect">
                      <a:avLst/>
                    </a:prstGeom>
                    <a:noFill/>
                    <a:ln>
                      <a:noFill/>
                    </a:ln>
                  </pic:spPr>
                </pic:pic>
              </a:graphicData>
            </a:graphic>
          </wp:inline>
        </w:drawing>
      </w:r>
    </w:p>
    <w:p w14:paraId="711D6BCA">
      <w:pPr>
        <w:rPr>
          <w:rFonts w:hint="eastAsia"/>
          <w:b/>
          <w:sz w:val="21"/>
          <w:szCs w:val="21"/>
          <w:highlight w:val="none"/>
        </w:rPr>
      </w:pPr>
    </w:p>
    <w:p w14:paraId="52A4269C">
      <w:pPr>
        <w:rPr>
          <w:rFonts w:hint="eastAsia"/>
          <w:b/>
          <w:sz w:val="21"/>
          <w:szCs w:val="21"/>
          <w:highlight w:val="none"/>
        </w:rPr>
      </w:pPr>
    </w:p>
    <w:p w14:paraId="778B0763">
      <w:pPr>
        <w:rPr>
          <w:rFonts w:hint="eastAsia"/>
          <w:b/>
          <w:sz w:val="21"/>
          <w:szCs w:val="21"/>
          <w:highlight w:val="none"/>
        </w:rPr>
      </w:pPr>
    </w:p>
    <w:p w14:paraId="0B5FC4AC">
      <w:pPr>
        <w:rPr>
          <w:rFonts w:hint="eastAsia"/>
          <w:b/>
          <w:sz w:val="21"/>
          <w:szCs w:val="21"/>
          <w:highlight w:val="none"/>
        </w:rPr>
      </w:pPr>
    </w:p>
    <w:p w14:paraId="588D3C5F">
      <w:pPr>
        <w:rPr>
          <w:rFonts w:hint="eastAsia"/>
          <w:b/>
          <w:sz w:val="21"/>
          <w:szCs w:val="21"/>
          <w:highlight w:val="none"/>
        </w:rPr>
      </w:pPr>
    </w:p>
    <w:p w14:paraId="6BF5B048">
      <w:pPr>
        <w:rPr>
          <w:rFonts w:hint="eastAsia"/>
          <w:highlight w:val="none"/>
        </w:rPr>
      </w:pPr>
    </w:p>
    <w:p w14:paraId="60D168F5">
      <w:pPr>
        <w:rPr>
          <w:rFonts w:hint="eastAsia"/>
          <w:highlight w:val="none"/>
        </w:rPr>
      </w:pPr>
    </w:p>
    <w:p w14:paraId="7E5CBD6A">
      <w:pPr>
        <w:rPr>
          <w:rFonts w:hint="eastAsia"/>
          <w:highlight w:val="none"/>
        </w:rPr>
      </w:pPr>
      <w:r>
        <w:rPr>
          <w:rFonts w:hint="eastAsia"/>
          <w:highlight w:val="none"/>
        </w:rPr>
        <w:t>接上一页</w:t>
      </w:r>
    </w:p>
    <w:p w14:paraId="196D9240">
      <w:pPr>
        <w:rPr>
          <w:rFonts w:hint="eastAsia"/>
          <w:b/>
          <w:sz w:val="21"/>
          <w:szCs w:val="21"/>
          <w:highlight w:val="none"/>
        </w:rPr>
      </w:pPr>
      <w:r>
        <w:rPr>
          <w:highlight w:val="none"/>
        </w:rPr>
        <w:drawing>
          <wp:inline distT="0" distB="0" distL="114300" distR="114300">
            <wp:extent cx="5273675" cy="6621780"/>
            <wp:effectExtent l="0" t="0" r="3175"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5273675" cy="6621780"/>
                    </a:xfrm>
                    <a:prstGeom prst="rect">
                      <a:avLst/>
                    </a:prstGeom>
                    <a:noFill/>
                    <a:ln>
                      <a:noFill/>
                    </a:ln>
                  </pic:spPr>
                </pic:pic>
              </a:graphicData>
            </a:graphic>
          </wp:inline>
        </w:drawing>
      </w:r>
    </w:p>
    <w:p w14:paraId="23860BD7">
      <w:pPr>
        <w:rPr>
          <w:rFonts w:hint="eastAsia"/>
          <w:b/>
          <w:sz w:val="21"/>
          <w:szCs w:val="21"/>
          <w:highlight w:val="none"/>
        </w:rPr>
      </w:pPr>
    </w:p>
    <w:p w14:paraId="00ED6F09">
      <w:pPr>
        <w:rPr>
          <w:rFonts w:hint="eastAsia"/>
          <w:b/>
          <w:sz w:val="21"/>
          <w:szCs w:val="21"/>
          <w:highlight w:val="none"/>
        </w:rPr>
      </w:pPr>
    </w:p>
    <w:p w14:paraId="747B8A4A">
      <w:pPr>
        <w:rPr>
          <w:rFonts w:hint="eastAsia"/>
          <w:b/>
          <w:sz w:val="21"/>
          <w:szCs w:val="21"/>
          <w:highlight w:val="none"/>
        </w:rPr>
      </w:pPr>
    </w:p>
    <w:p w14:paraId="4F5DE8B3">
      <w:pPr>
        <w:rPr>
          <w:rFonts w:hint="eastAsia"/>
          <w:b/>
          <w:sz w:val="21"/>
          <w:szCs w:val="21"/>
          <w:highlight w:val="none"/>
        </w:rPr>
      </w:pPr>
    </w:p>
    <w:p w14:paraId="28D45204">
      <w:pPr>
        <w:rPr>
          <w:rFonts w:hint="eastAsia"/>
          <w:b/>
          <w:sz w:val="21"/>
          <w:szCs w:val="21"/>
          <w:highlight w:val="none"/>
        </w:rPr>
      </w:pPr>
    </w:p>
    <w:p w14:paraId="4C51C627">
      <w:pPr>
        <w:rPr>
          <w:rFonts w:hint="eastAsia"/>
          <w:b/>
          <w:sz w:val="21"/>
          <w:szCs w:val="21"/>
          <w:highlight w:val="none"/>
        </w:rPr>
      </w:pPr>
    </w:p>
    <w:p w14:paraId="1FD0AE10">
      <w:pPr>
        <w:rPr>
          <w:rFonts w:hint="eastAsia"/>
          <w:highlight w:val="none"/>
        </w:rPr>
      </w:pPr>
    </w:p>
    <w:p w14:paraId="289648F0">
      <w:pPr>
        <w:rPr>
          <w:rFonts w:hint="eastAsia"/>
          <w:highlight w:val="none"/>
        </w:rPr>
      </w:pPr>
      <w:r>
        <w:rPr>
          <w:rFonts w:hint="eastAsia"/>
          <w:highlight w:val="none"/>
        </w:rPr>
        <w:t>接上一页</w:t>
      </w:r>
    </w:p>
    <w:p w14:paraId="00A5A590">
      <w:pPr>
        <w:rPr>
          <w:rFonts w:hint="eastAsia"/>
          <w:b/>
          <w:sz w:val="21"/>
          <w:szCs w:val="21"/>
          <w:highlight w:val="none"/>
        </w:rPr>
      </w:pPr>
    </w:p>
    <w:p w14:paraId="1AB7C71A">
      <w:pPr>
        <w:rPr>
          <w:rFonts w:hint="eastAsia"/>
          <w:b/>
          <w:sz w:val="21"/>
          <w:szCs w:val="21"/>
          <w:highlight w:val="none"/>
        </w:rPr>
      </w:pPr>
      <w:r>
        <w:rPr>
          <w:highlight w:val="none"/>
        </w:rPr>
        <w:drawing>
          <wp:inline distT="0" distB="0" distL="114300" distR="114300">
            <wp:extent cx="5270500" cy="4418330"/>
            <wp:effectExtent l="0" t="0" r="6350" b="12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5270500" cy="4418330"/>
                    </a:xfrm>
                    <a:prstGeom prst="rect">
                      <a:avLst/>
                    </a:prstGeom>
                    <a:noFill/>
                    <a:ln>
                      <a:noFill/>
                    </a:ln>
                  </pic:spPr>
                </pic:pic>
              </a:graphicData>
            </a:graphic>
          </wp:inline>
        </w:drawing>
      </w:r>
    </w:p>
    <w:p w14:paraId="05B8D54B">
      <w:pPr>
        <w:rPr>
          <w:rFonts w:hint="eastAsia"/>
          <w:b/>
          <w:sz w:val="21"/>
          <w:szCs w:val="21"/>
          <w:highlight w:val="none"/>
        </w:rPr>
      </w:pPr>
    </w:p>
    <w:p w14:paraId="391A7B24">
      <w:pPr>
        <w:rPr>
          <w:rFonts w:hint="eastAsia"/>
          <w:b/>
          <w:sz w:val="21"/>
          <w:szCs w:val="21"/>
          <w:highlight w:val="none"/>
        </w:rPr>
      </w:pPr>
    </w:p>
    <w:p w14:paraId="7944D6B4">
      <w:pPr>
        <w:rPr>
          <w:rFonts w:hint="eastAsia"/>
          <w:b/>
          <w:sz w:val="21"/>
          <w:szCs w:val="21"/>
          <w:highlight w:val="none"/>
        </w:rPr>
      </w:pPr>
    </w:p>
    <w:p w14:paraId="58C85054">
      <w:pPr>
        <w:rPr>
          <w:rFonts w:hint="eastAsia"/>
          <w:b/>
          <w:sz w:val="21"/>
          <w:szCs w:val="21"/>
          <w:highlight w:val="none"/>
        </w:rPr>
      </w:pPr>
    </w:p>
    <w:p w14:paraId="38B65CC7">
      <w:pPr>
        <w:rPr>
          <w:rFonts w:hint="eastAsia"/>
          <w:b/>
          <w:sz w:val="21"/>
          <w:szCs w:val="21"/>
          <w:highlight w:val="none"/>
        </w:rPr>
      </w:pPr>
    </w:p>
    <w:p w14:paraId="6AD3B255">
      <w:pPr>
        <w:rPr>
          <w:rFonts w:hint="eastAsia"/>
          <w:b/>
          <w:sz w:val="21"/>
          <w:szCs w:val="21"/>
          <w:highlight w:val="none"/>
        </w:rPr>
      </w:pPr>
    </w:p>
    <w:p w14:paraId="60602061">
      <w:pPr>
        <w:rPr>
          <w:rFonts w:hint="eastAsia"/>
          <w:b/>
          <w:sz w:val="21"/>
          <w:szCs w:val="21"/>
          <w:highlight w:val="none"/>
        </w:rPr>
      </w:pPr>
    </w:p>
    <w:p w14:paraId="7C9DD08F">
      <w:pPr>
        <w:rPr>
          <w:rFonts w:hint="eastAsia"/>
          <w:b/>
          <w:sz w:val="21"/>
          <w:szCs w:val="21"/>
          <w:highlight w:val="none"/>
        </w:rPr>
      </w:pPr>
    </w:p>
    <w:p w14:paraId="422FCF5A">
      <w:pPr>
        <w:rPr>
          <w:rFonts w:hint="eastAsia"/>
          <w:b/>
          <w:sz w:val="21"/>
          <w:szCs w:val="21"/>
          <w:highlight w:val="none"/>
        </w:rPr>
      </w:pPr>
    </w:p>
    <w:p w14:paraId="4D43AEFF">
      <w:pPr>
        <w:rPr>
          <w:rFonts w:hint="eastAsia"/>
          <w:b/>
          <w:sz w:val="21"/>
          <w:szCs w:val="21"/>
          <w:highlight w:val="none"/>
        </w:rPr>
      </w:pPr>
    </w:p>
    <w:p w14:paraId="32248B18">
      <w:pPr>
        <w:rPr>
          <w:rFonts w:hint="eastAsia"/>
          <w:b/>
          <w:sz w:val="21"/>
          <w:szCs w:val="21"/>
          <w:highlight w:val="none"/>
        </w:rPr>
      </w:pPr>
    </w:p>
    <w:p w14:paraId="5FB6BA1C">
      <w:pPr>
        <w:rPr>
          <w:rFonts w:hint="eastAsia"/>
          <w:b/>
          <w:sz w:val="21"/>
          <w:szCs w:val="21"/>
          <w:highlight w:val="none"/>
        </w:rPr>
      </w:pPr>
    </w:p>
    <w:p w14:paraId="07FA8310">
      <w:pPr>
        <w:rPr>
          <w:rFonts w:hint="eastAsia"/>
          <w:b/>
          <w:sz w:val="21"/>
          <w:szCs w:val="21"/>
          <w:highlight w:val="none"/>
        </w:rPr>
      </w:pPr>
    </w:p>
    <w:p w14:paraId="684E35E1">
      <w:pPr>
        <w:rPr>
          <w:rFonts w:hint="eastAsia"/>
          <w:b/>
          <w:sz w:val="21"/>
          <w:szCs w:val="21"/>
          <w:highlight w:val="none"/>
        </w:rPr>
      </w:pPr>
    </w:p>
    <w:p w14:paraId="49502734">
      <w:pPr>
        <w:rPr>
          <w:rFonts w:hint="eastAsia"/>
          <w:b/>
          <w:sz w:val="21"/>
          <w:szCs w:val="21"/>
          <w:highlight w:val="none"/>
        </w:rPr>
      </w:pPr>
    </w:p>
    <w:p w14:paraId="0D3803C9">
      <w:pPr>
        <w:rPr>
          <w:b/>
          <w:sz w:val="21"/>
          <w:szCs w:val="21"/>
          <w:highlight w:val="none"/>
        </w:rPr>
      </w:pPr>
      <w:r>
        <w:rPr>
          <w:rFonts w:hint="eastAsia"/>
          <w:b/>
          <w:sz w:val="21"/>
          <w:szCs w:val="21"/>
          <w:highlight w:val="none"/>
        </w:rPr>
        <w:t>补充材料</w:t>
      </w:r>
      <w:r>
        <w:rPr>
          <w:b/>
          <w:sz w:val="21"/>
          <w:szCs w:val="21"/>
          <w:highlight w:val="none"/>
        </w:rPr>
        <w:t>2</w:t>
      </w:r>
      <w:r>
        <w:rPr>
          <w:rFonts w:hint="eastAsia"/>
          <w:b/>
          <w:sz w:val="21"/>
          <w:szCs w:val="21"/>
          <w:highlight w:val="none"/>
        </w:rPr>
        <w:t>：</w:t>
      </w:r>
      <w:r>
        <w:rPr>
          <w:rFonts w:hint="eastAsia" w:ascii="仿宋" w:hAnsi="仿宋" w:eastAsia="仿宋" w:cs="新宋体"/>
          <w:b/>
          <w:sz w:val="24"/>
          <w:szCs w:val="24"/>
          <w:highlight w:val="none"/>
          <w:lang w:val="zh-CN"/>
        </w:rPr>
        <w:t>A</w:t>
      </w:r>
      <w:r>
        <w:rPr>
          <w:rFonts w:hint="eastAsia"/>
          <w:b/>
          <w:sz w:val="21"/>
          <w:szCs w:val="21"/>
          <w:highlight w:val="none"/>
        </w:rPr>
        <w:t>损益表（币种：</w:t>
      </w:r>
      <w:r>
        <w:rPr>
          <w:rFonts w:hint="eastAsia"/>
          <w:b/>
          <w:sz w:val="21"/>
          <w:szCs w:val="21"/>
          <w:highlight w:val="none"/>
          <w:lang w:val="en-US" w:eastAsia="zh-CN"/>
        </w:rPr>
        <w:t>越南盾</w:t>
      </w:r>
      <w:r>
        <w:rPr>
          <w:rFonts w:hint="eastAsia"/>
          <w:b/>
          <w:sz w:val="21"/>
          <w:szCs w:val="21"/>
          <w:highlight w:val="none"/>
        </w:rPr>
        <w:t>）</w:t>
      </w:r>
    </w:p>
    <w:p w14:paraId="5441CF01">
      <w:pPr>
        <w:rPr>
          <w:highlight w:val="none"/>
        </w:rPr>
      </w:pPr>
    </w:p>
    <w:p w14:paraId="6400F5CE">
      <w:pPr>
        <w:rPr>
          <w:highlight w:val="none"/>
        </w:rPr>
      </w:pPr>
      <w:r>
        <w:rPr>
          <w:highlight w:val="none"/>
        </w:rPr>
        <w:drawing>
          <wp:inline distT="0" distB="0" distL="114300" distR="114300">
            <wp:extent cx="5273675" cy="2684780"/>
            <wp:effectExtent l="0" t="0" r="3175" b="12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stretch>
                      <a:fillRect/>
                    </a:stretch>
                  </pic:blipFill>
                  <pic:spPr>
                    <a:xfrm>
                      <a:off x="0" y="0"/>
                      <a:ext cx="5273675" cy="2684780"/>
                    </a:xfrm>
                    <a:prstGeom prst="rect">
                      <a:avLst/>
                    </a:prstGeom>
                    <a:noFill/>
                    <a:ln>
                      <a:noFill/>
                    </a:ln>
                  </pic:spPr>
                </pic:pic>
              </a:graphicData>
            </a:graphic>
          </wp:inline>
        </w:drawing>
      </w:r>
    </w:p>
    <w:p w14:paraId="24E2353D">
      <w:pPr>
        <w:rPr>
          <w:highlight w:val="none"/>
        </w:rPr>
      </w:pPr>
    </w:p>
    <w:p w14:paraId="04CE3FA1">
      <w:pPr>
        <w:rPr>
          <w:highlight w:val="none"/>
        </w:rPr>
      </w:pPr>
    </w:p>
    <w:p w14:paraId="6A35EDFA">
      <w:pPr>
        <w:rPr>
          <w:highlight w:val="none"/>
        </w:rPr>
      </w:pPr>
    </w:p>
    <w:p w14:paraId="2900F5AD">
      <w:pPr>
        <w:rPr>
          <w:highlight w:val="none"/>
        </w:rPr>
      </w:pPr>
    </w:p>
    <w:p w14:paraId="5ED36CFB">
      <w:pPr>
        <w:rPr>
          <w:highlight w:val="none"/>
        </w:rPr>
      </w:pPr>
    </w:p>
    <w:p w14:paraId="183C0DCA">
      <w:pPr>
        <w:rPr>
          <w:highlight w:val="none"/>
        </w:rPr>
      </w:pPr>
    </w:p>
    <w:p w14:paraId="729D6F30">
      <w:pPr>
        <w:rPr>
          <w:highlight w:val="none"/>
        </w:rPr>
      </w:pPr>
    </w:p>
    <w:p w14:paraId="37597909">
      <w:pPr>
        <w:rPr>
          <w:highlight w:val="none"/>
        </w:rPr>
      </w:pPr>
    </w:p>
    <w:p w14:paraId="4CFAC573">
      <w:pPr>
        <w:rPr>
          <w:highlight w:val="none"/>
        </w:rPr>
      </w:pPr>
    </w:p>
    <w:p w14:paraId="74F843CE">
      <w:pPr>
        <w:rPr>
          <w:highlight w:val="none"/>
        </w:rPr>
      </w:pPr>
    </w:p>
    <w:p w14:paraId="07645594">
      <w:pPr>
        <w:rPr>
          <w:highlight w:val="none"/>
        </w:rPr>
      </w:pPr>
    </w:p>
    <w:p w14:paraId="013DE89A">
      <w:pPr>
        <w:rPr>
          <w:highlight w:val="none"/>
        </w:rPr>
      </w:pPr>
    </w:p>
    <w:p w14:paraId="597C690E">
      <w:pPr>
        <w:rPr>
          <w:highlight w:val="none"/>
        </w:rPr>
      </w:pPr>
    </w:p>
    <w:p w14:paraId="169D5351">
      <w:pPr>
        <w:rPr>
          <w:highlight w:val="none"/>
        </w:rPr>
      </w:pPr>
    </w:p>
    <w:p w14:paraId="7F44BDD1">
      <w:pPr>
        <w:rPr>
          <w:highlight w:val="none"/>
        </w:rPr>
      </w:pPr>
    </w:p>
    <w:p w14:paraId="4DC95E0A">
      <w:pPr>
        <w:rPr>
          <w:highlight w:val="none"/>
        </w:rPr>
      </w:pPr>
    </w:p>
    <w:p w14:paraId="6410AD52">
      <w:pPr>
        <w:rPr>
          <w:highlight w:val="none"/>
        </w:rPr>
      </w:pPr>
    </w:p>
    <w:p w14:paraId="72F773C7">
      <w:pPr>
        <w:rPr>
          <w:highlight w:val="none"/>
        </w:rPr>
      </w:pPr>
    </w:p>
    <w:p w14:paraId="1275216E">
      <w:pPr>
        <w:rPr>
          <w:highlight w:val="none"/>
        </w:rPr>
      </w:pPr>
    </w:p>
    <w:p w14:paraId="03047325">
      <w:pPr>
        <w:rPr>
          <w:highlight w:val="none"/>
        </w:rPr>
      </w:pPr>
    </w:p>
    <w:p w14:paraId="3AF6809F">
      <w:pPr>
        <w:rPr>
          <w:highlight w:val="none"/>
        </w:rPr>
      </w:pPr>
    </w:p>
    <w:p w14:paraId="1E7A9891">
      <w:pPr>
        <w:rPr>
          <w:highlight w:val="none"/>
        </w:rPr>
      </w:pPr>
    </w:p>
    <w:p w14:paraId="45C73F6D">
      <w:pPr>
        <w:rPr>
          <w:rFonts w:hint="eastAsia"/>
          <w:b/>
          <w:sz w:val="21"/>
          <w:szCs w:val="21"/>
          <w:highlight w:val="none"/>
        </w:rPr>
      </w:pPr>
      <w:r>
        <w:rPr>
          <w:rFonts w:hint="eastAsia"/>
          <w:b/>
          <w:sz w:val="21"/>
          <w:szCs w:val="21"/>
          <w:highlight w:val="none"/>
        </w:rPr>
        <w:t>补充材料</w:t>
      </w:r>
      <w:r>
        <w:rPr>
          <w:b/>
          <w:sz w:val="21"/>
          <w:szCs w:val="21"/>
          <w:highlight w:val="none"/>
        </w:rPr>
        <w:t>2</w:t>
      </w:r>
      <w:r>
        <w:rPr>
          <w:rFonts w:hint="eastAsia"/>
          <w:b/>
          <w:sz w:val="21"/>
          <w:szCs w:val="21"/>
          <w:highlight w:val="none"/>
        </w:rPr>
        <w:t>：</w:t>
      </w:r>
      <w:r>
        <w:rPr>
          <w:rFonts w:hint="eastAsia" w:ascii="仿宋" w:hAnsi="仿宋" w:eastAsia="仿宋" w:cs="新宋体"/>
          <w:b/>
          <w:sz w:val="24"/>
          <w:szCs w:val="24"/>
          <w:highlight w:val="none"/>
          <w:lang w:val="zh-CN"/>
        </w:rPr>
        <w:t>B</w:t>
      </w:r>
      <w:r>
        <w:rPr>
          <w:rFonts w:hint="eastAsia"/>
          <w:b/>
          <w:sz w:val="21"/>
          <w:szCs w:val="21"/>
          <w:highlight w:val="none"/>
        </w:rPr>
        <w:t>损益表（币种：</w:t>
      </w:r>
      <w:r>
        <w:rPr>
          <w:rFonts w:hint="eastAsia"/>
          <w:b/>
          <w:sz w:val="21"/>
          <w:szCs w:val="21"/>
          <w:highlight w:val="none"/>
          <w:lang w:val="en-US" w:eastAsia="zh-CN"/>
        </w:rPr>
        <w:t>越南盾</w:t>
      </w:r>
      <w:r>
        <w:rPr>
          <w:rFonts w:hint="eastAsia"/>
          <w:b/>
          <w:sz w:val="21"/>
          <w:szCs w:val="21"/>
          <w:highlight w:val="none"/>
        </w:rPr>
        <w:t>）</w:t>
      </w:r>
    </w:p>
    <w:p w14:paraId="791AB0E5">
      <w:pPr>
        <w:rPr>
          <w:rFonts w:hint="eastAsia"/>
          <w:b/>
          <w:sz w:val="21"/>
          <w:szCs w:val="21"/>
          <w:highlight w:val="none"/>
        </w:rPr>
      </w:pPr>
    </w:p>
    <w:p w14:paraId="589D9E62">
      <w:pPr>
        <w:rPr>
          <w:rFonts w:hint="eastAsia"/>
          <w:b/>
          <w:sz w:val="21"/>
          <w:szCs w:val="21"/>
          <w:highlight w:val="none"/>
        </w:rPr>
      </w:pPr>
      <w:r>
        <w:rPr>
          <w:highlight w:val="none"/>
        </w:rPr>
        <w:drawing>
          <wp:inline distT="0" distB="0" distL="114300" distR="114300">
            <wp:extent cx="5269865" cy="5417820"/>
            <wp:effectExtent l="0" t="0" r="6985" b="1143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4"/>
                    <a:stretch>
                      <a:fillRect/>
                    </a:stretch>
                  </pic:blipFill>
                  <pic:spPr>
                    <a:xfrm>
                      <a:off x="0" y="0"/>
                      <a:ext cx="5269865" cy="5417820"/>
                    </a:xfrm>
                    <a:prstGeom prst="rect">
                      <a:avLst/>
                    </a:prstGeom>
                    <a:noFill/>
                    <a:ln>
                      <a:noFill/>
                    </a:ln>
                  </pic:spPr>
                </pic:pic>
              </a:graphicData>
            </a:graphic>
          </wp:inline>
        </w:drawing>
      </w:r>
    </w:p>
    <w:p w14:paraId="3B862288">
      <w:pPr>
        <w:rPr>
          <w:highlight w:val="none"/>
        </w:rPr>
      </w:pPr>
    </w:p>
    <w:p w14:paraId="23C5C530">
      <w:pPr>
        <w:rPr>
          <w:highlight w:val="none"/>
        </w:rPr>
      </w:pPr>
      <w:r>
        <w:rPr>
          <w:highlight w:val="none"/>
        </w:rPr>
        <w:br w:type="page"/>
      </w:r>
    </w:p>
    <w:p w14:paraId="3EBA52C8">
      <w:pPr>
        <w:rPr>
          <w:rFonts w:hint="eastAsia"/>
          <w:b/>
          <w:sz w:val="21"/>
          <w:szCs w:val="21"/>
          <w:highlight w:val="none"/>
        </w:rPr>
      </w:pPr>
      <w:r>
        <w:rPr>
          <w:rFonts w:hint="eastAsia"/>
          <w:b/>
          <w:sz w:val="21"/>
          <w:szCs w:val="21"/>
          <w:highlight w:val="none"/>
        </w:rPr>
        <w:t>补充材料</w:t>
      </w:r>
      <w:r>
        <w:rPr>
          <w:b/>
          <w:sz w:val="21"/>
          <w:szCs w:val="21"/>
          <w:highlight w:val="none"/>
        </w:rPr>
        <w:t>3</w:t>
      </w:r>
      <w:r>
        <w:rPr>
          <w:rFonts w:hint="eastAsia"/>
          <w:b/>
          <w:sz w:val="21"/>
          <w:szCs w:val="21"/>
          <w:highlight w:val="none"/>
        </w:rPr>
        <w:t>：打分表</w:t>
      </w:r>
    </w:p>
    <w:p w14:paraId="29202365">
      <w:pPr>
        <w:rPr>
          <w:rFonts w:hint="eastAsia"/>
          <w:b/>
          <w:sz w:val="21"/>
          <w:szCs w:val="21"/>
          <w:highlight w:val="none"/>
        </w:rPr>
      </w:pPr>
    </w:p>
    <w:p w14:paraId="6F77973B">
      <w:pPr>
        <w:rPr>
          <w:highlight w:val="none"/>
        </w:rPr>
      </w:pPr>
      <w:r>
        <w:rPr>
          <w:highlight w:val="none"/>
        </w:rPr>
        <w:drawing>
          <wp:inline distT="0" distB="0" distL="114300" distR="114300">
            <wp:extent cx="4676775" cy="63912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4676775" cy="63912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621327"/>
    </w:sdtPr>
    <w:sdtContent>
      <w:p w14:paraId="6528020D">
        <w:pPr>
          <w:pStyle w:val="6"/>
          <w:jc w:val="center"/>
        </w:pPr>
        <w:r>
          <w:fldChar w:fldCharType="begin"/>
        </w:r>
        <w:r>
          <w:instrText xml:space="preserve">PAGE   \* MERGEFORMAT</w:instrText>
        </w:r>
        <w:r>
          <w:fldChar w:fldCharType="separate"/>
        </w:r>
        <w:r>
          <w:rPr>
            <w:lang w:val="zh-CN"/>
          </w:rPr>
          <w:t>27</w:t>
        </w:r>
        <w:r>
          <w:fldChar w:fldCharType="end"/>
        </w:r>
      </w:p>
    </w:sdtContent>
  </w:sdt>
  <w:p w14:paraId="07CFCF5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1YjdkMGJmOWExMmY1ZGE5NzlhYjgwYWYyYTg2MWMifQ=="/>
  </w:docVars>
  <w:rsids>
    <w:rsidRoot w:val="005A68C3"/>
    <w:rsid w:val="000059BC"/>
    <w:rsid w:val="000139C8"/>
    <w:rsid w:val="0002292E"/>
    <w:rsid w:val="000233C6"/>
    <w:rsid w:val="00027D90"/>
    <w:rsid w:val="000356D5"/>
    <w:rsid w:val="0005460B"/>
    <w:rsid w:val="000557FC"/>
    <w:rsid w:val="00060BF5"/>
    <w:rsid w:val="0006196F"/>
    <w:rsid w:val="000662E5"/>
    <w:rsid w:val="00067E2B"/>
    <w:rsid w:val="00074F15"/>
    <w:rsid w:val="00095149"/>
    <w:rsid w:val="000974ED"/>
    <w:rsid w:val="000979C0"/>
    <w:rsid w:val="000A0754"/>
    <w:rsid w:val="000A5B78"/>
    <w:rsid w:val="000C035A"/>
    <w:rsid w:val="000C7CEA"/>
    <w:rsid w:val="000D7FF7"/>
    <w:rsid w:val="00106856"/>
    <w:rsid w:val="0011778D"/>
    <w:rsid w:val="00121691"/>
    <w:rsid w:val="00123B44"/>
    <w:rsid w:val="0014423F"/>
    <w:rsid w:val="00155C64"/>
    <w:rsid w:val="001A4C42"/>
    <w:rsid w:val="001A68AA"/>
    <w:rsid w:val="001D11EC"/>
    <w:rsid w:val="001D6921"/>
    <w:rsid w:val="001E27F3"/>
    <w:rsid w:val="00223208"/>
    <w:rsid w:val="002264C1"/>
    <w:rsid w:val="0024033C"/>
    <w:rsid w:val="00253FB6"/>
    <w:rsid w:val="002661E2"/>
    <w:rsid w:val="0027099F"/>
    <w:rsid w:val="002830C0"/>
    <w:rsid w:val="002A4307"/>
    <w:rsid w:val="002B7402"/>
    <w:rsid w:val="002C1438"/>
    <w:rsid w:val="002C3B2E"/>
    <w:rsid w:val="002C4273"/>
    <w:rsid w:val="002D7DCA"/>
    <w:rsid w:val="002E33DD"/>
    <w:rsid w:val="002E466C"/>
    <w:rsid w:val="002E64B5"/>
    <w:rsid w:val="002F0623"/>
    <w:rsid w:val="00312ED3"/>
    <w:rsid w:val="00317409"/>
    <w:rsid w:val="0035002A"/>
    <w:rsid w:val="00367592"/>
    <w:rsid w:val="00367E69"/>
    <w:rsid w:val="00375CF7"/>
    <w:rsid w:val="003804F7"/>
    <w:rsid w:val="00380C25"/>
    <w:rsid w:val="00396F9E"/>
    <w:rsid w:val="003B199E"/>
    <w:rsid w:val="003B40D0"/>
    <w:rsid w:val="003C416B"/>
    <w:rsid w:val="003C6A27"/>
    <w:rsid w:val="003D1A1F"/>
    <w:rsid w:val="003D3D2A"/>
    <w:rsid w:val="003F745D"/>
    <w:rsid w:val="00406CD6"/>
    <w:rsid w:val="00422EBF"/>
    <w:rsid w:val="00432FC8"/>
    <w:rsid w:val="00433639"/>
    <w:rsid w:val="00450F75"/>
    <w:rsid w:val="00455700"/>
    <w:rsid w:val="00455CD9"/>
    <w:rsid w:val="004623C1"/>
    <w:rsid w:val="00470928"/>
    <w:rsid w:val="00472294"/>
    <w:rsid w:val="00484925"/>
    <w:rsid w:val="00494BC1"/>
    <w:rsid w:val="00494C95"/>
    <w:rsid w:val="004A26C9"/>
    <w:rsid w:val="004A68A3"/>
    <w:rsid w:val="004C66FA"/>
    <w:rsid w:val="004E711B"/>
    <w:rsid w:val="004F145B"/>
    <w:rsid w:val="004F594C"/>
    <w:rsid w:val="005212A1"/>
    <w:rsid w:val="0053598C"/>
    <w:rsid w:val="00535AEF"/>
    <w:rsid w:val="00547CFC"/>
    <w:rsid w:val="00574C20"/>
    <w:rsid w:val="0058349C"/>
    <w:rsid w:val="005869CE"/>
    <w:rsid w:val="00591976"/>
    <w:rsid w:val="005A68C3"/>
    <w:rsid w:val="005D7D45"/>
    <w:rsid w:val="005E0AFA"/>
    <w:rsid w:val="005E19CA"/>
    <w:rsid w:val="005E23BF"/>
    <w:rsid w:val="005F0BFB"/>
    <w:rsid w:val="005F303A"/>
    <w:rsid w:val="00600EE7"/>
    <w:rsid w:val="0060144D"/>
    <w:rsid w:val="0060181A"/>
    <w:rsid w:val="00602A49"/>
    <w:rsid w:val="00617CDB"/>
    <w:rsid w:val="0062694D"/>
    <w:rsid w:val="006569C2"/>
    <w:rsid w:val="006627AF"/>
    <w:rsid w:val="00663491"/>
    <w:rsid w:val="006731C5"/>
    <w:rsid w:val="006739FF"/>
    <w:rsid w:val="00676C4F"/>
    <w:rsid w:val="006A6C9C"/>
    <w:rsid w:val="006B4502"/>
    <w:rsid w:val="006B5771"/>
    <w:rsid w:val="006C6C2D"/>
    <w:rsid w:val="006D1F4D"/>
    <w:rsid w:val="006D7FFD"/>
    <w:rsid w:val="006E1F28"/>
    <w:rsid w:val="006F4174"/>
    <w:rsid w:val="0070139F"/>
    <w:rsid w:val="00712828"/>
    <w:rsid w:val="0071388A"/>
    <w:rsid w:val="00714B78"/>
    <w:rsid w:val="007157A5"/>
    <w:rsid w:val="00747558"/>
    <w:rsid w:val="007543FE"/>
    <w:rsid w:val="007637E3"/>
    <w:rsid w:val="007840AB"/>
    <w:rsid w:val="00787FAB"/>
    <w:rsid w:val="00797548"/>
    <w:rsid w:val="00797B1D"/>
    <w:rsid w:val="007B464C"/>
    <w:rsid w:val="007C3545"/>
    <w:rsid w:val="007E41EE"/>
    <w:rsid w:val="0081480E"/>
    <w:rsid w:val="008158CD"/>
    <w:rsid w:val="00815FEC"/>
    <w:rsid w:val="00816F31"/>
    <w:rsid w:val="008258FB"/>
    <w:rsid w:val="008414F7"/>
    <w:rsid w:val="0085575D"/>
    <w:rsid w:val="008673DE"/>
    <w:rsid w:val="00872AD0"/>
    <w:rsid w:val="0088228E"/>
    <w:rsid w:val="00895CF9"/>
    <w:rsid w:val="00897CCA"/>
    <w:rsid w:val="008C477B"/>
    <w:rsid w:val="008D083B"/>
    <w:rsid w:val="008D71E2"/>
    <w:rsid w:val="009004B6"/>
    <w:rsid w:val="00903EF2"/>
    <w:rsid w:val="009059B3"/>
    <w:rsid w:val="00906226"/>
    <w:rsid w:val="00907692"/>
    <w:rsid w:val="00911E96"/>
    <w:rsid w:val="00912712"/>
    <w:rsid w:val="00926038"/>
    <w:rsid w:val="0093384E"/>
    <w:rsid w:val="00934A1E"/>
    <w:rsid w:val="00935BD4"/>
    <w:rsid w:val="00946151"/>
    <w:rsid w:val="00963316"/>
    <w:rsid w:val="00985362"/>
    <w:rsid w:val="009A02DC"/>
    <w:rsid w:val="009A204A"/>
    <w:rsid w:val="009B3CE9"/>
    <w:rsid w:val="009D1DBF"/>
    <w:rsid w:val="009D2CEC"/>
    <w:rsid w:val="009D4CF3"/>
    <w:rsid w:val="00A00462"/>
    <w:rsid w:val="00A1648B"/>
    <w:rsid w:val="00A17F9D"/>
    <w:rsid w:val="00A211FB"/>
    <w:rsid w:val="00A261AF"/>
    <w:rsid w:val="00A3351B"/>
    <w:rsid w:val="00A339C8"/>
    <w:rsid w:val="00A3404B"/>
    <w:rsid w:val="00A61A4F"/>
    <w:rsid w:val="00A65E7F"/>
    <w:rsid w:val="00A7342D"/>
    <w:rsid w:val="00A809B6"/>
    <w:rsid w:val="00A85712"/>
    <w:rsid w:val="00AA1156"/>
    <w:rsid w:val="00AA7414"/>
    <w:rsid w:val="00AB085E"/>
    <w:rsid w:val="00AC3857"/>
    <w:rsid w:val="00AD41B3"/>
    <w:rsid w:val="00AD4F95"/>
    <w:rsid w:val="00AD59C1"/>
    <w:rsid w:val="00AE0172"/>
    <w:rsid w:val="00AE5FE5"/>
    <w:rsid w:val="00AF40E9"/>
    <w:rsid w:val="00B1355B"/>
    <w:rsid w:val="00B33AC4"/>
    <w:rsid w:val="00B6053F"/>
    <w:rsid w:val="00B85B2E"/>
    <w:rsid w:val="00B94952"/>
    <w:rsid w:val="00BA483B"/>
    <w:rsid w:val="00BA76C0"/>
    <w:rsid w:val="00BB3DDE"/>
    <w:rsid w:val="00BC3EED"/>
    <w:rsid w:val="00BE448E"/>
    <w:rsid w:val="00C00D7C"/>
    <w:rsid w:val="00C0504F"/>
    <w:rsid w:val="00C23728"/>
    <w:rsid w:val="00C34F83"/>
    <w:rsid w:val="00C72B01"/>
    <w:rsid w:val="00C75F77"/>
    <w:rsid w:val="00C974E1"/>
    <w:rsid w:val="00CA215F"/>
    <w:rsid w:val="00D049F9"/>
    <w:rsid w:val="00D30C7D"/>
    <w:rsid w:val="00D36BDF"/>
    <w:rsid w:val="00D463DF"/>
    <w:rsid w:val="00D669D8"/>
    <w:rsid w:val="00D76B0C"/>
    <w:rsid w:val="00DA74CF"/>
    <w:rsid w:val="00DA78D7"/>
    <w:rsid w:val="00DB5A59"/>
    <w:rsid w:val="00DB6F0E"/>
    <w:rsid w:val="00DC2360"/>
    <w:rsid w:val="00DD1178"/>
    <w:rsid w:val="00DE08C6"/>
    <w:rsid w:val="00DE3F49"/>
    <w:rsid w:val="00DE6C0D"/>
    <w:rsid w:val="00E14171"/>
    <w:rsid w:val="00E23369"/>
    <w:rsid w:val="00E46928"/>
    <w:rsid w:val="00E70164"/>
    <w:rsid w:val="00E73B99"/>
    <w:rsid w:val="00E83669"/>
    <w:rsid w:val="00E84FD2"/>
    <w:rsid w:val="00E8642B"/>
    <w:rsid w:val="00E96134"/>
    <w:rsid w:val="00EB56EF"/>
    <w:rsid w:val="00EB7EE2"/>
    <w:rsid w:val="00ED272B"/>
    <w:rsid w:val="00ED3C43"/>
    <w:rsid w:val="00ED5083"/>
    <w:rsid w:val="00EE27D1"/>
    <w:rsid w:val="00EE7AB4"/>
    <w:rsid w:val="00F044EB"/>
    <w:rsid w:val="00F11F4D"/>
    <w:rsid w:val="00F2036D"/>
    <w:rsid w:val="00F27291"/>
    <w:rsid w:val="00F511E6"/>
    <w:rsid w:val="00F61546"/>
    <w:rsid w:val="00F70A66"/>
    <w:rsid w:val="00F73577"/>
    <w:rsid w:val="00F7379A"/>
    <w:rsid w:val="00FA57D7"/>
    <w:rsid w:val="00FA7352"/>
    <w:rsid w:val="00FB44FD"/>
    <w:rsid w:val="00FE00C3"/>
    <w:rsid w:val="00FF31AB"/>
    <w:rsid w:val="00FF4038"/>
    <w:rsid w:val="00FF7B58"/>
    <w:rsid w:val="03EE6EF9"/>
    <w:rsid w:val="058645FB"/>
    <w:rsid w:val="094162A4"/>
    <w:rsid w:val="0D890721"/>
    <w:rsid w:val="111955E5"/>
    <w:rsid w:val="13180FA5"/>
    <w:rsid w:val="13CF0310"/>
    <w:rsid w:val="140B209A"/>
    <w:rsid w:val="147D6BCA"/>
    <w:rsid w:val="14B533C8"/>
    <w:rsid w:val="14D26F15"/>
    <w:rsid w:val="176B1520"/>
    <w:rsid w:val="1A015ADD"/>
    <w:rsid w:val="1B977B0D"/>
    <w:rsid w:val="1BFB7AB9"/>
    <w:rsid w:val="1EA212B7"/>
    <w:rsid w:val="20DA0690"/>
    <w:rsid w:val="22680EB9"/>
    <w:rsid w:val="29E0776D"/>
    <w:rsid w:val="330B46AE"/>
    <w:rsid w:val="357513DA"/>
    <w:rsid w:val="37E8067A"/>
    <w:rsid w:val="38F1355F"/>
    <w:rsid w:val="39547E3D"/>
    <w:rsid w:val="3D842FB0"/>
    <w:rsid w:val="401B423F"/>
    <w:rsid w:val="40420B44"/>
    <w:rsid w:val="404B5C4A"/>
    <w:rsid w:val="40C003E6"/>
    <w:rsid w:val="428F2B5F"/>
    <w:rsid w:val="44277CD6"/>
    <w:rsid w:val="448C082F"/>
    <w:rsid w:val="45B536DB"/>
    <w:rsid w:val="470152B5"/>
    <w:rsid w:val="47DE5CE8"/>
    <w:rsid w:val="48DB38E3"/>
    <w:rsid w:val="4AFC572A"/>
    <w:rsid w:val="4B007ACB"/>
    <w:rsid w:val="4C064B5C"/>
    <w:rsid w:val="4E2C12B0"/>
    <w:rsid w:val="4F0F4A33"/>
    <w:rsid w:val="506D2B6D"/>
    <w:rsid w:val="585C67EF"/>
    <w:rsid w:val="5BCE72BD"/>
    <w:rsid w:val="5DA3391F"/>
    <w:rsid w:val="5DD15589"/>
    <w:rsid w:val="61D93B7C"/>
    <w:rsid w:val="632111D7"/>
    <w:rsid w:val="637A7D7F"/>
    <w:rsid w:val="6A2B055B"/>
    <w:rsid w:val="6CB23FBC"/>
    <w:rsid w:val="6E276AFF"/>
    <w:rsid w:val="76CF5F86"/>
    <w:rsid w:val="77B740B1"/>
    <w:rsid w:val="7A37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asciiTheme="minorHAnsi" w:hAnsiTheme="minorHAnsi" w:cstheme="minorHAnsi"/>
      <w:sz w:val="28"/>
      <w:lang w:val="en-US"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style>
  <w:style w:type="paragraph" w:styleId="4">
    <w:name w:val="Date"/>
    <w:basedOn w:val="1"/>
    <w:next w:val="1"/>
    <w:link w:val="24"/>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pPr>
      <w:spacing w:before="120" w:after="120"/>
    </w:pPr>
    <w:rPr>
      <w:b/>
      <w:bCs/>
      <w:caps/>
      <w:sz w:val="20"/>
    </w:rPr>
  </w:style>
  <w:style w:type="paragraph" w:styleId="9">
    <w:name w:val="Title"/>
    <w:basedOn w:val="1"/>
    <w:next w:val="1"/>
    <w:link w:val="16"/>
    <w:qFormat/>
    <w:uiPriority w:val="10"/>
    <w:pPr>
      <w:spacing w:before="240" w:after="60"/>
      <w:jc w:val="center"/>
      <w:outlineLvl w:val="0"/>
    </w:pPr>
    <w:rPr>
      <w:rFonts w:eastAsia="方正小标宋简体" w:asciiTheme="majorHAnsi" w:hAnsiTheme="majorHAnsi" w:cstheme="majorBidi"/>
      <w:b/>
      <w:bCs/>
      <w:sz w:val="32"/>
      <w:szCs w:val="32"/>
    </w:rPr>
  </w:style>
  <w:style w:type="paragraph" w:styleId="10">
    <w:name w:val="annotation subject"/>
    <w:basedOn w:val="3"/>
    <w:next w:val="3"/>
    <w:link w:val="21"/>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标题 字符"/>
    <w:basedOn w:val="12"/>
    <w:link w:val="9"/>
    <w:qFormat/>
    <w:uiPriority w:val="10"/>
    <w:rPr>
      <w:rFonts w:eastAsia="方正小标宋简体" w:asciiTheme="majorHAnsi" w:hAnsiTheme="majorHAnsi" w:cstheme="majorBidi"/>
      <w:b/>
      <w:bCs/>
      <w:kern w:val="0"/>
      <w:sz w:val="32"/>
      <w:szCs w:val="32"/>
    </w:rPr>
  </w:style>
  <w:style w:type="character" w:customStyle="1" w:styleId="17">
    <w:name w:val="未处理的提及1"/>
    <w:basedOn w:val="12"/>
    <w:semiHidden/>
    <w:unhideWhenUsed/>
    <w:qFormat/>
    <w:uiPriority w:val="99"/>
    <w:rPr>
      <w:color w:val="605E5C"/>
      <w:shd w:val="clear" w:color="auto" w:fill="E1DFDD"/>
    </w:rPr>
  </w:style>
  <w:style w:type="paragraph" w:customStyle="1" w:styleId="18">
    <w:name w:val="修订1"/>
    <w:hidden/>
    <w:semiHidden/>
    <w:qFormat/>
    <w:uiPriority w:val="99"/>
    <w:rPr>
      <w:rFonts w:eastAsia="仿宋_GB2312" w:asciiTheme="minorHAnsi" w:hAnsiTheme="minorHAnsi" w:cstheme="minorHAnsi"/>
      <w:sz w:val="28"/>
      <w:lang w:val="en-US" w:eastAsia="zh-CN" w:bidi="ar-SA"/>
    </w:rPr>
  </w:style>
  <w:style w:type="character" w:customStyle="1" w:styleId="19">
    <w:name w:val="批注框文本 字符"/>
    <w:basedOn w:val="12"/>
    <w:link w:val="5"/>
    <w:semiHidden/>
    <w:qFormat/>
    <w:uiPriority w:val="99"/>
    <w:rPr>
      <w:rFonts w:eastAsia="仿宋_GB2312" w:asciiTheme="minorHAnsi" w:hAnsiTheme="minorHAnsi" w:cstheme="minorHAnsi"/>
      <w:sz w:val="18"/>
      <w:szCs w:val="18"/>
    </w:rPr>
  </w:style>
  <w:style w:type="character" w:customStyle="1" w:styleId="20">
    <w:name w:val="批注文字 字符"/>
    <w:basedOn w:val="12"/>
    <w:link w:val="3"/>
    <w:semiHidden/>
    <w:qFormat/>
    <w:uiPriority w:val="99"/>
    <w:rPr>
      <w:rFonts w:eastAsia="仿宋_GB2312" w:asciiTheme="minorHAnsi" w:hAnsiTheme="minorHAnsi" w:cstheme="minorHAnsi"/>
      <w:sz w:val="28"/>
    </w:rPr>
  </w:style>
  <w:style w:type="character" w:customStyle="1" w:styleId="21">
    <w:name w:val="批注主题 字符"/>
    <w:basedOn w:val="20"/>
    <w:link w:val="10"/>
    <w:semiHidden/>
    <w:qFormat/>
    <w:uiPriority w:val="99"/>
    <w:rPr>
      <w:rFonts w:eastAsia="仿宋_GB2312" w:asciiTheme="minorHAnsi" w:hAnsiTheme="minorHAnsi" w:cstheme="minorHAnsi"/>
      <w:b/>
      <w:bCs/>
      <w:sz w:val="28"/>
    </w:rPr>
  </w:style>
  <w:style w:type="character" w:customStyle="1" w:styleId="22">
    <w:name w:val="页眉 字符"/>
    <w:basedOn w:val="12"/>
    <w:link w:val="7"/>
    <w:qFormat/>
    <w:uiPriority w:val="99"/>
    <w:rPr>
      <w:rFonts w:eastAsia="仿宋_GB2312" w:asciiTheme="minorHAnsi" w:hAnsiTheme="minorHAnsi" w:cstheme="minorHAnsi"/>
      <w:sz w:val="18"/>
      <w:szCs w:val="18"/>
    </w:rPr>
  </w:style>
  <w:style w:type="character" w:customStyle="1" w:styleId="23">
    <w:name w:val="页脚 字符"/>
    <w:basedOn w:val="12"/>
    <w:link w:val="6"/>
    <w:qFormat/>
    <w:uiPriority w:val="99"/>
    <w:rPr>
      <w:rFonts w:eastAsia="仿宋_GB2312" w:asciiTheme="minorHAnsi" w:hAnsiTheme="minorHAnsi" w:cstheme="minorHAnsi"/>
      <w:sz w:val="18"/>
      <w:szCs w:val="18"/>
    </w:rPr>
  </w:style>
  <w:style w:type="character" w:customStyle="1" w:styleId="24">
    <w:name w:val="日期 字符"/>
    <w:basedOn w:val="12"/>
    <w:link w:val="4"/>
    <w:semiHidden/>
    <w:qFormat/>
    <w:uiPriority w:val="99"/>
    <w:rPr>
      <w:rFonts w:eastAsia="仿宋_GB2312" w:asciiTheme="minorHAnsi" w:hAnsiTheme="minorHAnsi" w:cstheme="minorHAnsi"/>
      <w:sz w:val="28"/>
    </w:rPr>
  </w:style>
  <w:style w:type="paragraph" w:customStyle="1" w:styleId="25">
    <w:name w:val="Revision"/>
    <w:hidden/>
    <w:semiHidden/>
    <w:qFormat/>
    <w:uiPriority w:val="99"/>
    <w:rPr>
      <w:rFonts w:eastAsia="仿宋_GB2312" w:asciiTheme="minorHAnsi" w:hAnsiTheme="minorHAnsi" w:cstheme="minorHAnsi"/>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7962</Words>
  <Characters>8888</Characters>
  <Lines>66</Lines>
  <Paragraphs>18</Paragraphs>
  <TotalTime>28</TotalTime>
  <ScaleCrop>false</ScaleCrop>
  <LinksUpToDate>false</LinksUpToDate>
  <CharactersWithSpaces>9020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2026-01-14T10:12:00Z</dcterms:created>
  <dc:creator>周 庆鹏</dc:creator>
  <cp:lastModifiedBy>鲍澜</cp:lastModifiedBy>
  <cp:lastPrinted>2026-01-23T10:36:00Z</cp:lastPrinted>
  <dcterms:modified xsi:type="dcterms:W3CDTF">2026-01-23T10:58:10Z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20B0A1F07A5B4982B3BAD72C52B8AF8A_13</vt:lpwstr>
  </property>
  <property fmtid="{D5CDD505-2E9C-101B-9397-08002B2CF9AE}" pid="4" name="KSOTemplateDocerSaveRecord">
    <vt:lpwstr>eyJoZGlkIjoiNDRiNGJlMWM2Y2NhMzQ2MGU2OTI5ZTQxN2Y1M2FmYjQiLCJ1c2VySWQiOiI3NDgwNTg1MTIifQ==</vt:lpwstr>
  </property>
</Properties>
</file>