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200144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方正小标宋简体" w:hAnsi="宋体" w:eastAsia="方正小标宋简体" w:cs="宋体"/>
          <w:b/>
          <w:color w:val="000000"/>
          <w:kern w:val="0"/>
          <w:sz w:val="56"/>
          <w:szCs w:val="44"/>
          <w:highlight w:val="none"/>
          <w:lang w:val="en-US" w:eastAsia="zh-CN"/>
        </w:rPr>
      </w:pPr>
      <w:bookmarkStart w:id="9" w:name="_GoBack"/>
    </w:p>
    <w:p w14:paraId="41637B09">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方正小标宋简体" w:hAnsi="宋体" w:eastAsia="方正小标宋简体" w:cs="宋体"/>
          <w:b/>
          <w:color w:val="000000"/>
          <w:kern w:val="0"/>
          <w:sz w:val="56"/>
          <w:szCs w:val="44"/>
          <w:highlight w:val="none"/>
          <w:lang w:val="en-US" w:eastAsia="zh-CN"/>
        </w:rPr>
      </w:pPr>
    </w:p>
    <w:p w14:paraId="5556A97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方正小标宋简体" w:hAnsi="宋体" w:eastAsia="方正小标宋简体" w:cs="宋体"/>
          <w:b/>
          <w:color w:val="000000"/>
          <w:kern w:val="0"/>
          <w:sz w:val="56"/>
          <w:szCs w:val="44"/>
          <w:highlight w:val="none"/>
          <w:lang w:val="en-US" w:eastAsia="zh-CN"/>
        </w:rPr>
      </w:pPr>
    </w:p>
    <w:p w14:paraId="6C681C4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方正小标宋简体" w:hAnsi="宋体" w:eastAsia="方正小标宋简体" w:cs="宋体"/>
          <w:b/>
          <w:color w:val="000000"/>
          <w:kern w:val="0"/>
          <w:sz w:val="56"/>
          <w:szCs w:val="44"/>
          <w:highlight w:val="none"/>
          <w:lang w:val="en-US" w:eastAsia="zh-CN"/>
        </w:rPr>
      </w:pPr>
    </w:p>
    <w:p w14:paraId="320DD02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方正小标宋简体" w:hAnsi="宋体" w:eastAsia="方正小标宋简体" w:cs="宋体"/>
          <w:b/>
          <w:color w:val="000000"/>
          <w:kern w:val="0"/>
          <w:sz w:val="56"/>
          <w:szCs w:val="44"/>
          <w:highlight w:val="none"/>
          <w:lang w:val="en-US" w:eastAsia="zh-CN"/>
        </w:rPr>
      </w:pPr>
    </w:p>
    <w:p w14:paraId="352A54F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方正小标宋简体" w:hAnsi="宋体" w:eastAsia="方正小标宋简体" w:cs="宋体"/>
          <w:b/>
          <w:color w:val="000000"/>
          <w:kern w:val="0"/>
          <w:sz w:val="56"/>
          <w:szCs w:val="44"/>
          <w:highlight w:val="none"/>
          <w:lang w:val="en-US" w:eastAsia="zh-CN"/>
        </w:rPr>
      </w:pPr>
      <w:r>
        <w:rPr>
          <w:rFonts w:hint="eastAsia" w:ascii="方正小标宋简体" w:hAnsi="宋体" w:eastAsia="方正小标宋简体" w:cs="宋体"/>
          <w:b/>
          <w:color w:val="000000"/>
          <w:kern w:val="0"/>
          <w:sz w:val="56"/>
          <w:szCs w:val="44"/>
          <w:highlight w:val="none"/>
          <w:lang w:val="en-US" w:eastAsia="zh-CN"/>
        </w:rPr>
        <w:t>2026年度中纺大厦B2层污水处理设备维护、维修、保养项目竞价采购文件</w:t>
      </w:r>
    </w:p>
    <w:p w14:paraId="77601485">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eastAsia" w:ascii="方正小标宋简体" w:hAnsi="宋体" w:eastAsia="方正小标宋简体" w:cs="宋体"/>
          <w:b/>
          <w:color w:val="000000"/>
          <w:kern w:val="0"/>
          <w:sz w:val="56"/>
          <w:szCs w:val="44"/>
          <w:highlight w:val="none"/>
          <w:lang w:val="en-US" w:eastAsia="zh-CN"/>
        </w:rPr>
      </w:pPr>
    </w:p>
    <w:p w14:paraId="71010192">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eastAsia" w:ascii="方正小标宋简体" w:hAnsi="宋体" w:eastAsia="方正小标宋简体" w:cs="宋体"/>
          <w:b/>
          <w:color w:val="000000"/>
          <w:kern w:val="0"/>
          <w:sz w:val="56"/>
          <w:szCs w:val="44"/>
          <w:highlight w:val="none"/>
          <w:lang w:val="en-US" w:eastAsia="zh-CN"/>
        </w:rPr>
      </w:pPr>
    </w:p>
    <w:p w14:paraId="757ABC6F">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eastAsia" w:ascii="方正小标宋简体" w:hAnsi="宋体" w:eastAsia="方正小标宋简体" w:cs="宋体"/>
          <w:b/>
          <w:color w:val="000000"/>
          <w:kern w:val="0"/>
          <w:sz w:val="56"/>
          <w:szCs w:val="44"/>
          <w:highlight w:val="none"/>
          <w:lang w:val="en-US" w:eastAsia="zh-CN"/>
        </w:rPr>
      </w:pPr>
    </w:p>
    <w:p w14:paraId="52A3D90A">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eastAsia" w:ascii="方正小标宋简体" w:hAnsi="宋体" w:eastAsia="方正小标宋简体" w:cs="宋体"/>
          <w:b/>
          <w:color w:val="000000"/>
          <w:kern w:val="0"/>
          <w:sz w:val="56"/>
          <w:szCs w:val="44"/>
          <w:highlight w:val="none"/>
          <w:lang w:val="en-US" w:eastAsia="zh-CN"/>
        </w:rPr>
      </w:pPr>
    </w:p>
    <w:p w14:paraId="1E6A9BCC">
      <w:pPr>
        <w:keepNext w:val="0"/>
        <w:keepLines w:val="0"/>
        <w:pageBreakBefore w:val="0"/>
        <w:widowControl/>
        <w:kinsoku/>
        <w:wordWrap/>
        <w:overflowPunct/>
        <w:topLinePunct w:val="0"/>
        <w:autoSpaceDE/>
        <w:autoSpaceDN/>
        <w:bidi w:val="0"/>
        <w:adjustRightInd/>
        <w:snapToGrid/>
        <w:spacing w:line="240" w:lineRule="auto"/>
        <w:jc w:val="both"/>
        <w:textAlignment w:val="auto"/>
        <w:rPr>
          <w:rFonts w:hint="eastAsia" w:ascii="方正小标宋简体" w:hAnsi="宋体" w:eastAsia="方正小标宋简体" w:cs="宋体"/>
          <w:b/>
          <w:color w:val="000000"/>
          <w:kern w:val="0"/>
          <w:sz w:val="56"/>
          <w:szCs w:val="44"/>
          <w:highlight w:val="none"/>
          <w:lang w:val="en-US" w:eastAsia="zh-CN"/>
        </w:rPr>
      </w:pPr>
    </w:p>
    <w:p w14:paraId="2A6B0F37">
      <w:pPr>
        <w:pStyle w:val="11"/>
        <w:rPr>
          <w:rFonts w:hint="eastAsia" w:ascii="仿宋_GB2312" w:hAnsi="仿宋" w:eastAsia="仿宋_GB2312" w:cs="宋体"/>
          <w:b w:val="0"/>
          <w:bCs w:val="0"/>
          <w:spacing w:val="4"/>
          <w:kern w:val="0"/>
          <w:sz w:val="28"/>
          <w:szCs w:val="28"/>
          <w:highlight w:val="none"/>
          <w:lang w:val="en-US" w:eastAsia="zh-CN" w:bidi="ar"/>
        </w:rPr>
      </w:pPr>
      <w:r>
        <w:rPr>
          <w:rFonts w:hint="eastAsia" w:ascii="仿宋_GB2312" w:hAnsi="仿宋" w:eastAsia="仿宋_GB2312" w:cs="宋体"/>
          <w:b w:val="0"/>
          <w:bCs w:val="0"/>
          <w:spacing w:val="4"/>
          <w:kern w:val="0"/>
          <w:sz w:val="28"/>
          <w:szCs w:val="28"/>
          <w:highlight w:val="none"/>
          <w:lang w:val="en-US" w:eastAsia="zh-CN" w:bidi="ar"/>
        </w:rPr>
        <w:t>中纺物业管理有限公司</w:t>
      </w:r>
    </w:p>
    <w:p w14:paraId="44666D12">
      <w:pPr>
        <w:jc w:val="center"/>
        <w:rPr>
          <w:rFonts w:hint="default" w:ascii="仿宋_GB2312" w:hAnsi="仿宋" w:eastAsia="仿宋_GB2312" w:cs="宋体"/>
          <w:b w:val="0"/>
          <w:bCs w:val="0"/>
          <w:spacing w:val="4"/>
          <w:kern w:val="0"/>
          <w:sz w:val="28"/>
          <w:szCs w:val="28"/>
          <w:highlight w:val="none"/>
          <w:lang w:val="en-US" w:eastAsia="zh-CN" w:bidi="ar"/>
        </w:rPr>
      </w:pPr>
      <w:r>
        <w:rPr>
          <w:rFonts w:hint="eastAsia" w:ascii="仿宋_GB2312" w:hAnsi="仿宋" w:eastAsia="仿宋_GB2312" w:cs="宋体"/>
          <w:b w:val="0"/>
          <w:bCs w:val="0"/>
          <w:spacing w:val="4"/>
          <w:kern w:val="0"/>
          <w:sz w:val="28"/>
          <w:szCs w:val="28"/>
          <w:highlight w:val="none"/>
          <w:lang w:val="en-US" w:eastAsia="zh-CN" w:bidi="ar"/>
        </w:rPr>
        <w:t>2025年12月</w:t>
      </w:r>
    </w:p>
    <w:p w14:paraId="1F657F3D">
      <w:pPr>
        <w:rPr>
          <w:rFonts w:hint="eastAsia"/>
          <w:kern w:val="0"/>
          <w:sz w:val="36"/>
          <w:szCs w:val="36"/>
          <w:highlight w:val="none"/>
          <w:lang w:val="en-US" w:eastAsia="zh-CN"/>
        </w:rPr>
      </w:pPr>
    </w:p>
    <w:p w14:paraId="56FC51D3">
      <w:pPr>
        <w:rPr>
          <w:rFonts w:hint="eastAsia"/>
          <w:kern w:val="0"/>
          <w:sz w:val="36"/>
          <w:szCs w:val="36"/>
          <w:highlight w:val="none"/>
          <w:lang w:val="en-US" w:eastAsia="zh-CN"/>
        </w:rPr>
      </w:pPr>
    </w:p>
    <w:p w14:paraId="2B43915A">
      <w:pPr>
        <w:pStyle w:val="11"/>
        <w:rPr>
          <w:rFonts w:hint="eastAsia"/>
          <w:sz w:val="15"/>
          <w:szCs w:val="18"/>
          <w:highlight w:val="none"/>
          <w:lang w:val="en-US" w:eastAsia="zh-CN"/>
        </w:rPr>
      </w:pPr>
      <w:r>
        <w:rPr>
          <w:rFonts w:hint="eastAsia"/>
          <w:kern w:val="0"/>
          <w:sz w:val="36"/>
          <w:szCs w:val="36"/>
          <w:highlight w:val="none"/>
          <w:lang w:val="en-US" w:eastAsia="zh-CN"/>
        </w:rPr>
        <w:t>第一部分竞价公告</w:t>
      </w:r>
    </w:p>
    <w:p w14:paraId="0AD5B773">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中纺物业管理有限公司拟通过竞价采购方式，遴选2026年度中纺大厦B2层污水处理设备维护、维修、保养项目服务供应商。请符合条件的供应商公司参加并提供本项目方案及报价。</w:t>
      </w:r>
    </w:p>
    <w:p w14:paraId="2244F0F8">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黑体" w:hAnsi="黑体" w:eastAsia="黑体" w:cs="宋体"/>
          <w:color w:val="333333"/>
          <w:spacing w:val="8"/>
          <w:sz w:val="28"/>
          <w:szCs w:val="28"/>
          <w:highlight w:val="none"/>
        </w:rPr>
      </w:pPr>
      <w:r>
        <w:rPr>
          <w:rFonts w:hint="eastAsia" w:ascii="黑体" w:hAnsi="黑体" w:eastAsia="黑体" w:cs="宋体"/>
          <w:color w:val="333333"/>
          <w:spacing w:val="4"/>
          <w:sz w:val="28"/>
          <w:szCs w:val="28"/>
          <w:highlight w:val="none"/>
        </w:rPr>
        <w:t>一、项目概况</w:t>
      </w:r>
    </w:p>
    <w:p w14:paraId="671D058D">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1.项目名称：2026年度中纺大厦B2层污水处理设备维护、维修、保养项目；</w:t>
      </w:r>
    </w:p>
    <w:p w14:paraId="3AF75E01">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2.项目地址：北京市东城区建国门内大街19号；</w:t>
      </w:r>
    </w:p>
    <w:p w14:paraId="39DEAE50">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color w:val="auto"/>
          <w:spacing w:val="4"/>
          <w:sz w:val="28"/>
          <w:szCs w:val="28"/>
          <w:highlight w:val="none"/>
          <w:lang w:val="en-US" w:eastAsia="zh-CN"/>
        </w:rPr>
      </w:pPr>
      <w:r>
        <w:rPr>
          <w:rFonts w:hint="eastAsia" w:ascii="仿宋_GB2312" w:hAnsi="仿宋" w:eastAsia="仿宋_GB2312" w:cs="宋体"/>
          <w:color w:val="auto"/>
          <w:spacing w:val="4"/>
          <w:sz w:val="28"/>
          <w:szCs w:val="28"/>
          <w:highlight w:val="none"/>
          <w:lang w:val="en-US" w:eastAsia="zh-CN"/>
        </w:rPr>
        <w:t>3.最高限价（含税）：10万元，超出该价格的响应无效；</w:t>
      </w:r>
    </w:p>
    <w:p w14:paraId="7250B3CC">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4.采购内容：供应商对中纺大厦B2层污水处理设备间内的污水处理设备进行年度维护、维修、保养等维保工作；供应商主要负责：污水处理设备间内的污水处理设备设施正常运行和安全生产，负责设备、设施的保养、维护，负责设备加药、水质检测、膜离线在线清洗、污水处理设备相关各类泵维修工作（具体服务内容详见第三部分内容）；</w:t>
      </w:r>
    </w:p>
    <w:p w14:paraId="4FD5A4F2">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5.服务周期：一年（拟定服务期限自2026.1.1日至2026.12.31日止）具体时间以合同签订时间为准。</w:t>
      </w:r>
    </w:p>
    <w:p w14:paraId="352DB11E">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黑体" w:hAnsi="黑体" w:eastAsia="黑体" w:cs="宋体"/>
          <w:color w:val="333333"/>
          <w:spacing w:val="4"/>
          <w:sz w:val="28"/>
          <w:szCs w:val="28"/>
          <w:highlight w:val="none"/>
        </w:rPr>
      </w:pPr>
      <w:r>
        <w:rPr>
          <w:rFonts w:hint="eastAsia" w:ascii="黑体" w:hAnsi="黑体" w:eastAsia="黑体" w:cs="宋体"/>
          <w:color w:val="333333"/>
          <w:spacing w:val="4"/>
          <w:sz w:val="28"/>
          <w:szCs w:val="28"/>
          <w:highlight w:val="none"/>
        </w:rPr>
        <w:t>二、供应商资格要求</w:t>
      </w:r>
    </w:p>
    <w:p w14:paraId="11BA8A5B">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1.营业执照（具备水污染治理等相关内容）；</w:t>
      </w:r>
    </w:p>
    <w:p w14:paraId="3A125495">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2.安全生产许可证；</w:t>
      </w:r>
    </w:p>
    <w:p w14:paraId="796FAEBB">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default"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3.反腐败承诺书</w:t>
      </w:r>
    </w:p>
    <w:p w14:paraId="2DAEEE69">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4.无重大违法记录声明；</w:t>
      </w:r>
    </w:p>
    <w:p w14:paraId="310D0465">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default"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5.近三年无事故证明；</w:t>
      </w:r>
    </w:p>
    <w:p w14:paraId="28F7198E">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default"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6.供应商需提供自2023年1月1日起承接的类似业绩（不少于3个，以合同签订时间为准），相关业绩需提供中标（选）通知复印件或合同首页和金额页复印件等证明文件。</w:t>
      </w:r>
    </w:p>
    <w:p w14:paraId="701CCD60">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7.本项目不接受联合体响应，且不接受分包或转包；</w:t>
      </w:r>
    </w:p>
    <w:p w14:paraId="778475D4">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8.法律、行政法规规定的其他条件。</w:t>
      </w:r>
    </w:p>
    <w:p w14:paraId="30707A93">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黑体" w:hAnsi="黑体" w:eastAsia="黑体" w:cs="宋体"/>
          <w:color w:val="333333"/>
          <w:spacing w:val="4"/>
          <w:sz w:val="28"/>
          <w:szCs w:val="28"/>
          <w:highlight w:val="none"/>
        </w:rPr>
      </w:pPr>
      <w:r>
        <w:rPr>
          <w:rFonts w:hint="eastAsia" w:ascii="黑体" w:hAnsi="黑体" w:eastAsia="黑体" w:cs="宋体"/>
          <w:color w:val="333333"/>
          <w:spacing w:val="4"/>
          <w:sz w:val="28"/>
          <w:szCs w:val="28"/>
          <w:highlight w:val="none"/>
        </w:rPr>
        <w:t>三、</w:t>
      </w:r>
      <w:r>
        <w:rPr>
          <w:rFonts w:hint="eastAsia" w:ascii="黑体" w:hAnsi="黑体" w:eastAsia="黑体" w:cs="宋体"/>
          <w:color w:val="333333"/>
          <w:spacing w:val="4"/>
          <w:sz w:val="28"/>
          <w:szCs w:val="28"/>
          <w:highlight w:val="none"/>
          <w:lang w:val="en-US" w:eastAsia="zh-CN"/>
        </w:rPr>
        <w:t>竞价</w:t>
      </w:r>
      <w:r>
        <w:rPr>
          <w:rFonts w:hint="eastAsia" w:ascii="黑体" w:hAnsi="黑体" w:eastAsia="黑体" w:cs="宋体"/>
          <w:color w:val="333333"/>
          <w:spacing w:val="4"/>
          <w:sz w:val="28"/>
          <w:szCs w:val="28"/>
          <w:highlight w:val="none"/>
        </w:rPr>
        <w:t>采购文件下载地址及时间</w:t>
      </w:r>
    </w:p>
    <w:p w14:paraId="44D9C096">
      <w:pPr>
        <w:keepNext w:val="0"/>
        <w:keepLines w:val="0"/>
        <w:pageBreakBefore w:val="0"/>
        <w:widowControl/>
        <w:kinsoku/>
        <w:wordWrap w:val="0"/>
        <w:overflowPunct/>
        <w:topLinePunct w:val="0"/>
        <w:autoSpaceDE/>
        <w:autoSpaceDN/>
        <w:bidi w:val="0"/>
        <w:adjustRightInd/>
        <w:snapToGrid/>
        <w:spacing w:line="500" w:lineRule="exact"/>
        <w:ind w:firstLine="576" w:firstLineChars="200"/>
        <w:textAlignment w:val="auto"/>
        <w:rPr>
          <w:rFonts w:ascii="仿宋_GB2312" w:hAnsi="仿宋" w:eastAsia="仿宋_GB2312" w:cs="宋体"/>
          <w:spacing w:val="4"/>
          <w:sz w:val="28"/>
          <w:szCs w:val="28"/>
          <w:highlight w:val="none"/>
        </w:rPr>
      </w:pPr>
      <w:r>
        <w:rPr>
          <w:rFonts w:hint="eastAsia" w:ascii="仿宋_GB2312" w:hAnsi="仿宋" w:eastAsia="仿宋_GB2312" w:cs="宋体"/>
          <w:spacing w:val="4"/>
          <w:sz w:val="28"/>
          <w:szCs w:val="28"/>
          <w:highlight w:val="none"/>
        </w:rPr>
        <w:t>1.本项目相关信息将在“中粮E采供应链采购平台（以下简称：</w:t>
      </w:r>
      <w:r>
        <w:rPr>
          <w:rFonts w:hint="eastAsia" w:ascii="仿宋_GB2312" w:hAnsi="仿宋" w:eastAsia="仿宋_GB2312" w:cs="宋体"/>
          <w:spacing w:val="4"/>
          <w:sz w:val="28"/>
          <w:szCs w:val="28"/>
          <w:highlight w:val="none"/>
          <w:lang w:eastAsia="zh-CN"/>
        </w:rPr>
        <w:t>‘</w:t>
      </w:r>
      <w:r>
        <w:rPr>
          <w:rFonts w:hint="eastAsia" w:ascii="仿宋_GB2312" w:hAnsi="仿宋" w:eastAsia="仿宋_GB2312" w:cs="宋体"/>
          <w:spacing w:val="4"/>
          <w:sz w:val="28"/>
          <w:szCs w:val="28"/>
          <w:highlight w:val="none"/>
        </w:rPr>
        <w:t>电子交易平台</w:t>
      </w:r>
      <w:r>
        <w:rPr>
          <w:rFonts w:hint="eastAsia" w:ascii="仿宋_GB2312" w:hAnsi="仿宋" w:eastAsia="仿宋_GB2312" w:cs="宋体"/>
          <w:spacing w:val="4"/>
          <w:sz w:val="28"/>
          <w:szCs w:val="28"/>
          <w:highlight w:val="none"/>
          <w:lang w:eastAsia="zh-CN"/>
        </w:rPr>
        <w:t>’</w:t>
      </w:r>
      <w:r>
        <w:rPr>
          <w:rFonts w:hint="eastAsia" w:ascii="仿宋_GB2312" w:hAnsi="仿宋" w:eastAsia="仿宋_GB2312" w:cs="宋体"/>
          <w:spacing w:val="4"/>
          <w:sz w:val="28"/>
          <w:szCs w:val="28"/>
          <w:highlight w:val="none"/>
        </w:rPr>
        <w:t>，网址：https://ecai.cofco.com/web-portal/index.html#/home）”和中国招标投标公共服务平台（www.cebpubservice.com）媒介上发布采购</w:t>
      </w:r>
      <w:r>
        <w:rPr>
          <w:rFonts w:hint="eastAsia" w:ascii="仿宋_GB2312" w:hAnsi="仿宋" w:eastAsia="仿宋_GB2312" w:cs="宋体"/>
          <w:spacing w:val="4"/>
          <w:sz w:val="28"/>
          <w:szCs w:val="28"/>
          <w:highlight w:val="none"/>
          <w:lang w:val="en-US" w:eastAsia="zh-CN"/>
        </w:rPr>
        <w:t>公告</w:t>
      </w:r>
      <w:r>
        <w:rPr>
          <w:rFonts w:hint="eastAsia" w:ascii="仿宋_GB2312" w:hAnsi="仿宋" w:eastAsia="仿宋_GB2312" w:cs="宋体"/>
          <w:spacing w:val="4"/>
          <w:sz w:val="28"/>
          <w:szCs w:val="28"/>
          <w:highlight w:val="none"/>
        </w:rPr>
        <w:t>及采购</w:t>
      </w:r>
      <w:r>
        <w:rPr>
          <w:rFonts w:hint="eastAsia" w:ascii="仿宋_GB2312" w:hAnsi="仿宋" w:eastAsia="仿宋_GB2312" w:cs="宋体"/>
          <w:spacing w:val="4"/>
          <w:sz w:val="28"/>
          <w:szCs w:val="28"/>
          <w:highlight w:val="none"/>
          <w:lang w:val="en-US" w:eastAsia="zh-CN"/>
        </w:rPr>
        <w:t>文件</w:t>
      </w:r>
      <w:r>
        <w:rPr>
          <w:rFonts w:hint="eastAsia" w:ascii="仿宋_GB2312" w:hAnsi="仿宋" w:eastAsia="仿宋_GB2312" w:cs="宋体"/>
          <w:spacing w:val="4"/>
          <w:sz w:val="28"/>
          <w:szCs w:val="28"/>
          <w:highlight w:val="none"/>
        </w:rPr>
        <w:t>，有意向者在电子交易平台注册成功后可登录下载查看。</w:t>
      </w:r>
    </w:p>
    <w:p w14:paraId="2BDEFC69">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eastAsia="zh-CN"/>
        </w:rPr>
      </w:pPr>
      <w:r>
        <w:rPr>
          <w:rFonts w:hint="eastAsia" w:ascii="仿宋_GB2312" w:hAnsi="仿宋" w:eastAsia="仿宋_GB2312" w:cs="宋体"/>
          <w:spacing w:val="4"/>
          <w:sz w:val="28"/>
          <w:szCs w:val="28"/>
          <w:highlight w:val="none"/>
        </w:rPr>
        <w:t>2.电子交易平台咨询热线：010-21362564，CA办理咨询热线：010-58515511、4009197888</w:t>
      </w:r>
      <w:r>
        <w:rPr>
          <w:rFonts w:hint="eastAsia" w:ascii="仿宋_GB2312" w:hAnsi="仿宋" w:eastAsia="仿宋_GB2312" w:cs="宋体"/>
          <w:spacing w:val="4"/>
          <w:sz w:val="28"/>
          <w:szCs w:val="28"/>
          <w:highlight w:val="none"/>
          <w:lang w:eastAsia="zh-CN"/>
        </w:rPr>
        <w:t>。</w:t>
      </w:r>
    </w:p>
    <w:p w14:paraId="33540971">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rPr>
      </w:pPr>
      <w:r>
        <w:rPr>
          <w:rFonts w:hint="eastAsia" w:ascii="仿宋_GB2312" w:hAnsi="仿宋" w:eastAsia="仿宋_GB2312" w:cs="宋体"/>
          <w:spacing w:val="4"/>
          <w:sz w:val="28"/>
          <w:szCs w:val="28"/>
          <w:highlight w:val="none"/>
        </w:rPr>
        <w:t>3</w:t>
      </w:r>
      <w:r>
        <w:rPr>
          <w:rFonts w:ascii="仿宋_GB2312" w:hAnsi="仿宋" w:eastAsia="仿宋_GB2312" w:cs="宋体"/>
          <w:spacing w:val="4"/>
          <w:sz w:val="28"/>
          <w:szCs w:val="28"/>
          <w:highlight w:val="none"/>
        </w:rPr>
        <w:t>.</w:t>
      </w:r>
      <w:r>
        <w:rPr>
          <w:rFonts w:hint="eastAsia" w:ascii="仿宋_GB2312" w:hAnsi="仿宋" w:eastAsia="仿宋_GB2312" w:cs="宋体"/>
          <w:spacing w:val="4"/>
          <w:sz w:val="28"/>
          <w:szCs w:val="28"/>
          <w:highlight w:val="none"/>
          <w:lang w:val="en-US" w:eastAsia="zh-CN"/>
        </w:rPr>
        <w:t>竞价</w:t>
      </w:r>
      <w:r>
        <w:rPr>
          <w:rFonts w:hint="eastAsia" w:ascii="仿宋_GB2312" w:hAnsi="仿宋" w:eastAsia="仿宋_GB2312" w:cs="宋体"/>
          <w:spacing w:val="4"/>
          <w:sz w:val="28"/>
          <w:szCs w:val="28"/>
          <w:highlight w:val="none"/>
        </w:rPr>
        <w:t>采购</w:t>
      </w:r>
      <w:r>
        <w:rPr>
          <w:rFonts w:hint="eastAsia" w:ascii="仿宋_GB2312" w:hAnsi="仿宋" w:eastAsia="仿宋_GB2312" w:cs="宋体"/>
          <w:spacing w:val="4"/>
          <w:sz w:val="28"/>
          <w:szCs w:val="28"/>
          <w:highlight w:val="none"/>
          <w:lang w:val="en-US" w:eastAsia="zh-CN"/>
        </w:rPr>
        <w:t>文件</w:t>
      </w:r>
      <w:r>
        <w:rPr>
          <w:rFonts w:hint="eastAsia" w:ascii="仿宋_GB2312" w:hAnsi="仿宋" w:eastAsia="仿宋_GB2312" w:cs="宋体"/>
          <w:spacing w:val="4"/>
          <w:sz w:val="28"/>
          <w:szCs w:val="28"/>
          <w:highlight w:val="none"/>
        </w:rPr>
        <w:t>下载、现场踏勘、</w:t>
      </w:r>
      <w:r>
        <w:rPr>
          <w:rFonts w:hint="eastAsia" w:ascii="仿宋_GB2312" w:hAnsi="仿宋" w:eastAsia="仿宋_GB2312" w:cs="宋体"/>
          <w:spacing w:val="4"/>
          <w:sz w:val="28"/>
          <w:szCs w:val="28"/>
          <w:highlight w:val="none"/>
          <w:lang w:val="en-US" w:eastAsia="zh-CN"/>
        </w:rPr>
        <w:t>开启响应文件</w:t>
      </w:r>
      <w:r>
        <w:rPr>
          <w:rFonts w:hint="eastAsia" w:ascii="仿宋_GB2312" w:hAnsi="仿宋" w:eastAsia="仿宋_GB2312" w:cs="宋体"/>
          <w:spacing w:val="4"/>
          <w:sz w:val="28"/>
          <w:szCs w:val="28"/>
          <w:highlight w:val="none"/>
        </w:rPr>
        <w:t>等时间，以电子交易平台发布的时间为准。</w:t>
      </w:r>
    </w:p>
    <w:p w14:paraId="521A137B">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仿宋_GB2312" w:hAnsi="仿宋" w:eastAsia="仿宋_GB2312" w:cs="宋体"/>
          <w:spacing w:val="4"/>
          <w:sz w:val="28"/>
          <w:szCs w:val="28"/>
          <w:highlight w:val="none"/>
        </w:rPr>
      </w:pPr>
      <w:r>
        <w:rPr>
          <w:rFonts w:hint="eastAsia" w:ascii="仿宋_GB2312" w:hAnsi="仿宋" w:eastAsia="仿宋_GB2312" w:cs="宋体"/>
          <w:spacing w:val="4"/>
          <w:sz w:val="28"/>
          <w:szCs w:val="28"/>
          <w:highlight w:val="none"/>
        </w:rPr>
        <w:t>4</w:t>
      </w:r>
      <w:r>
        <w:rPr>
          <w:rFonts w:ascii="仿宋_GB2312" w:hAnsi="仿宋" w:eastAsia="仿宋_GB2312" w:cs="宋体"/>
          <w:spacing w:val="4"/>
          <w:sz w:val="28"/>
          <w:szCs w:val="28"/>
          <w:highlight w:val="none"/>
        </w:rPr>
        <w:t>.</w:t>
      </w:r>
      <w:r>
        <w:rPr>
          <w:rFonts w:hint="eastAsia" w:ascii="仿宋_GB2312" w:hAnsi="仿宋" w:eastAsia="仿宋_GB2312" w:cs="宋体"/>
          <w:spacing w:val="4"/>
          <w:sz w:val="28"/>
          <w:szCs w:val="28"/>
          <w:highlight w:val="none"/>
        </w:rPr>
        <w:t>响应文件递交地点：电子交易平台。</w:t>
      </w:r>
    </w:p>
    <w:p w14:paraId="4D6A3943">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仿宋_GB2312" w:hAnsi="仿宋" w:eastAsia="仿宋_GB2312" w:cs="宋体"/>
          <w:spacing w:val="4"/>
          <w:sz w:val="28"/>
          <w:szCs w:val="28"/>
          <w:highlight w:val="none"/>
        </w:rPr>
      </w:pPr>
      <w:r>
        <w:rPr>
          <w:rFonts w:hint="eastAsia" w:ascii="仿宋_GB2312" w:hAnsi="仿宋" w:eastAsia="仿宋_GB2312" w:cs="宋体"/>
          <w:spacing w:val="4"/>
          <w:sz w:val="28"/>
          <w:szCs w:val="28"/>
          <w:highlight w:val="none"/>
        </w:rPr>
        <w:t>5.响应文件递交截止时间：以电子交易平台发布的时间为准。</w:t>
      </w:r>
    </w:p>
    <w:p w14:paraId="7F23A889">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仿宋_GB2312" w:hAnsi="仿宋" w:eastAsia="仿宋_GB2312" w:cs="宋体"/>
          <w:spacing w:val="4"/>
          <w:sz w:val="28"/>
          <w:szCs w:val="28"/>
          <w:highlight w:val="none"/>
        </w:rPr>
      </w:pPr>
      <w:r>
        <w:rPr>
          <w:rFonts w:hint="eastAsia" w:ascii="仿宋_GB2312" w:hAnsi="仿宋" w:eastAsia="仿宋_GB2312" w:cs="宋体"/>
          <w:spacing w:val="4"/>
          <w:sz w:val="28"/>
          <w:szCs w:val="28"/>
          <w:highlight w:val="none"/>
        </w:rPr>
        <w:t>6.响应方应按照电子交易平台要求进行提交。响应文件均需由响应方或经正式授权并对响应方有约束力的代表签章并加盖公章。</w:t>
      </w:r>
    </w:p>
    <w:p w14:paraId="08D8BFF1">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ascii="黑体" w:hAnsi="黑体" w:eastAsia="黑体" w:cs="宋体"/>
          <w:color w:val="333333"/>
          <w:spacing w:val="4"/>
          <w:sz w:val="28"/>
          <w:szCs w:val="28"/>
          <w:highlight w:val="none"/>
        </w:rPr>
      </w:pPr>
      <w:r>
        <w:rPr>
          <w:rFonts w:hint="eastAsia" w:ascii="黑体" w:hAnsi="黑体" w:eastAsia="黑体" w:cs="宋体"/>
          <w:color w:val="333333"/>
          <w:spacing w:val="4"/>
          <w:sz w:val="28"/>
          <w:szCs w:val="28"/>
          <w:highlight w:val="none"/>
        </w:rPr>
        <w:t>四、采购监督说明</w:t>
      </w:r>
    </w:p>
    <w:p w14:paraId="7E48305A">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rPr>
      </w:pPr>
      <w:r>
        <w:rPr>
          <w:rFonts w:hint="eastAsia" w:ascii="仿宋_GB2312" w:hAnsi="仿宋" w:eastAsia="仿宋_GB2312" w:cs="宋体"/>
          <w:spacing w:val="4"/>
          <w:sz w:val="28"/>
          <w:szCs w:val="28"/>
          <w:highlight w:val="none"/>
        </w:rPr>
        <w:t>1.信访举报电话：010-65285080（工作日9:00-17:30）。</w:t>
      </w:r>
    </w:p>
    <w:p w14:paraId="1CF69A68">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rPr>
        <w:sectPr>
          <w:headerReference r:id="rId3" w:type="default"/>
          <w:footerReference r:id="rId4" w:type="default"/>
          <w:pgSz w:w="11906" w:h="16838"/>
          <w:pgMar w:top="1440" w:right="1080" w:bottom="1440" w:left="1080" w:header="851" w:footer="992" w:gutter="0"/>
          <w:pgNumType w:fmt="decimal"/>
          <w:cols w:space="0" w:num="1"/>
          <w:rtlGutter w:val="0"/>
          <w:docGrid w:type="lines" w:linePitch="312" w:charSpace="0"/>
        </w:sectPr>
      </w:pPr>
      <w:r>
        <w:rPr>
          <w:rFonts w:hint="eastAsia" w:ascii="仿宋_GB2312" w:hAnsi="仿宋" w:eastAsia="仿宋_GB2312" w:cs="宋体"/>
          <w:spacing w:val="4"/>
          <w:sz w:val="28"/>
          <w:szCs w:val="28"/>
          <w:highlight w:val="none"/>
        </w:rPr>
        <w:t>2.举报范围：招投标活动过程中涉嫌贪污贿赂、滥用职权、玩忽职守、权力寻租、利益输送、徇私舞弊以及浪费国家资财等问题的检举控告。</w:t>
      </w:r>
    </w:p>
    <w:p w14:paraId="63CF8610">
      <w:pPr>
        <w:pStyle w:val="11"/>
        <w:jc w:val="center"/>
        <w:rPr>
          <w:rFonts w:hint="eastAsia"/>
          <w:kern w:val="0"/>
          <w:sz w:val="36"/>
          <w:szCs w:val="36"/>
          <w:highlight w:val="none"/>
          <w:lang w:val="en-US" w:eastAsia="zh-CN"/>
        </w:rPr>
      </w:pPr>
      <w:r>
        <w:rPr>
          <w:rFonts w:hint="eastAsia"/>
          <w:kern w:val="0"/>
          <w:sz w:val="36"/>
          <w:szCs w:val="36"/>
          <w:highlight w:val="none"/>
          <w:lang w:val="en-US" w:eastAsia="zh-CN"/>
        </w:rPr>
        <w:t xml:space="preserve">  第二部分供应商须知</w:t>
      </w:r>
    </w:p>
    <w:tbl>
      <w:tblPr>
        <w:tblStyle w:val="13"/>
        <w:tblW w:w="1035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7"/>
        <w:gridCol w:w="1620"/>
        <w:gridCol w:w="7848"/>
      </w:tblGrid>
      <w:tr w14:paraId="10F4F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6A47309E">
            <w:pPr>
              <w:spacing w:line="360" w:lineRule="exact"/>
              <w:jc w:val="center"/>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序号</w:t>
            </w:r>
          </w:p>
        </w:tc>
        <w:tc>
          <w:tcPr>
            <w:tcW w:w="1620" w:type="dxa"/>
            <w:tcBorders>
              <w:top w:val="single" w:color="auto" w:sz="4" w:space="0"/>
              <w:left w:val="single" w:color="auto" w:sz="4" w:space="0"/>
              <w:bottom w:val="single" w:color="auto" w:sz="4" w:space="0"/>
              <w:right w:val="single" w:color="auto" w:sz="4" w:space="0"/>
            </w:tcBorders>
            <w:vAlign w:val="center"/>
          </w:tcPr>
          <w:p w14:paraId="4633CB55">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条款名称</w:t>
            </w:r>
          </w:p>
        </w:tc>
        <w:tc>
          <w:tcPr>
            <w:tcW w:w="7848" w:type="dxa"/>
            <w:tcBorders>
              <w:top w:val="single" w:color="auto" w:sz="4" w:space="0"/>
              <w:left w:val="single" w:color="auto" w:sz="4" w:space="0"/>
              <w:bottom w:val="single" w:color="auto" w:sz="4" w:space="0"/>
              <w:right w:val="single" w:color="auto" w:sz="4" w:space="0"/>
            </w:tcBorders>
            <w:vAlign w:val="center"/>
          </w:tcPr>
          <w:p w14:paraId="4B2C64CB">
            <w:pPr>
              <w:spacing w:line="360" w:lineRule="exact"/>
              <w:ind w:firstLine="560" w:firstLineChars="200"/>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编列内容</w:t>
            </w:r>
          </w:p>
        </w:tc>
      </w:tr>
      <w:tr w14:paraId="2D0B6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6"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5343A56B">
            <w:pPr>
              <w:spacing w:line="360" w:lineRule="exact"/>
              <w:jc w:val="center"/>
              <w:rPr>
                <w:rFonts w:ascii="仿宋_GB2312" w:hAnsi="微软雅黑" w:eastAsia="仿宋_GB2312"/>
                <w:sz w:val="28"/>
                <w:szCs w:val="28"/>
                <w:highlight w:val="none"/>
              </w:rPr>
            </w:pPr>
            <w:r>
              <w:rPr>
                <w:rFonts w:ascii="仿宋_GB2312" w:hAnsi="微软雅黑" w:eastAsia="仿宋_GB2312"/>
                <w:sz w:val="28"/>
                <w:szCs w:val="28"/>
                <w:highlight w:val="none"/>
              </w:rPr>
              <w:t>1</w:t>
            </w:r>
          </w:p>
        </w:tc>
        <w:tc>
          <w:tcPr>
            <w:tcW w:w="1620" w:type="dxa"/>
            <w:tcBorders>
              <w:top w:val="single" w:color="auto" w:sz="4" w:space="0"/>
              <w:left w:val="single" w:color="auto" w:sz="4" w:space="0"/>
              <w:bottom w:val="single" w:color="auto" w:sz="4" w:space="0"/>
              <w:right w:val="single" w:color="auto" w:sz="4" w:space="0"/>
            </w:tcBorders>
            <w:vAlign w:val="center"/>
          </w:tcPr>
          <w:p w14:paraId="1F4AFF2E">
            <w:pPr>
              <w:spacing w:line="360" w:lineRule="exact"/>
              <w:jc w:val="center"/>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采购人</w:t>
            </w:r>
          </w:p>
        </w:tc>
        <w:tc>
          <w:tcPr>
            <w:tcW w:w="7848" w:type="dxa"/>
            <w:tcBorders>
              <w:top w:val="single" w:color="auto" w:sz="4" w:space="0"/>
              <w:left w:val="single" w:color="auto" w:sz="4" w:space="0"/>
              <w:bottom w:val="single" w:color="auto" w:sz="4" w:space="0"/>
              <w:right w:val="single" w:color="auto" w:sz="4" w:space="0"/>
            </w:tcBorders>
            <w:vAlign w:val="center"/>
          </w:tcPr>
          <w:p w14:paraId="1D591B9B">
            <w:pPr>
              <w:spacing w:line="360" w:lineRule="exact"/>
              <w:rPr>
                <w:rFonts w:hint="default" w:ascii="仿宋_GB2312" w:hAnsi="微软雅黑" w:eastAsia="仿宋_GB2312" w:cs="宋体"/>
                <w:sz w:val="28"/>
                <w:szCs w:val="28"/>
                <w:highlight w:val="none"/>
                <w:lang w:val="en-US" w:eastAsia="zh-CN"/>
              </w:rPr>
            </w:pPr>
            <w:r>
              <w:rPr>
                <w:rFonts w:hint="eastAsia" w:ascii="仿宋_GB2312" w:hAnsi="微软雅黑" w:eastAsia="仿宋_GB2312"/>
                <w:sz w:val="28"/>
                <w:szCs w:val="28"/>
                <w:highlight w:val="none"/>
                <w:lang w:val="en-US" w:eastAsia="zh-CN"/>
              </w:rPr>
              <w:t>中纺物业管理有限公司</w:t>
            </w:r>
          </w:p>
        </w:tc>
      </w:tr>
      <w:tr w14:paraId="63E821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0AB4E42F">
            <w:pPr>
              <w:spacing w:line="360" w:lineRule="exact"/>
              <w:jc w:val="center"/>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2</w:t>
            </w:r>
          </w:p>
        </w:tc>
        <w:tc>
          <w:tcPr>
            <w:tcW w:w="1620" w:type="dxa"/>
            <w:tcBorders>
              <w:top w:val="single" w:color="auto" w:sz="4" w:space="0"/>
              <w:left w:val="single" w:color="auto" w:sz="4" w:space="0"/>
              <w:bottom w:val="single" w:color="auto" w:sz="4" w:space="0"/>
              <w:right w:val="single" w:color="auto" w:sz="4" w:space="0"/>
            </w:tcBorders>
            <w:vAlign w:val="center"/>
          </w:tcPr>
          <w:p w14:paraId="41D1C7BA">
            <w:pPr>
              <w:spacing w:line="360" w:lineRule="exact"/>
              <w:jc w:val="center"/>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项目地点</w:t>
            </w:r>
          </w:p>
        </w:tc>
        <w:tc>
          <w:tcPr>
            <w:tcW w:w="7848" w:type="dxa"/>
            <w:tcBorders>
              <w:top w:val="single" w:color="auto" w:sz="4" w:space="0"/>
              <w:left w:val="single" w:color="auto" w:sz="4" w:space="0"/>
              <w:bottom w:val="single" w:color="auto" w:sz="4" w:space="0"/>
              <w:right w:val="single" w:color="auto" w:sz="4" w:space="0"/>
            </w:tcBorders>
            <w:vAlign w:val="center"/>
          </w:tcPr>
          <w:p w14:paraId="16951CB4">
            <w:pPr>
              <w:spacing w:line="360" w:lineRule="exact"/>
              <w:rPr>
                <w:rFonts w:hint="eastAsia" w:ascii="仿宋_GB2312" w:hAnsi="仿宋" w:eastAsia="仿宋_GB2312" w:cs="宋体"/>
                <w:color w:val="auto"/>
                <w:spacing w:val="4"/>
                <w:sz w:val="28"/>
                <w:szCs w:val="28"/>
                <w:highlight w:val="none"/>
                <w:lang w:val="en-US" w:eastAsia="zh-CN"/>
              </w:rPr>
            </w:pPr>
            <w:r>
              <w:rPr>
                <w:rFonts w:hint="eastAsia" w:ascii="仿宋_GB2312" w:hAnsi="微软雅黑" w:eastAsia="仿宋_GB2312"/>
                <w:sz w:val="28"/>
                <w:szCs w:val="28"/>
                <w:highlight w:val="none"/>
                <w:lang w:val="en-US" w:eastAsia="zh-CN"/>
              </w:rPr>
              <w:t>北京市东城区建国门内大街19号</w:t>
            </w:r>
          </w:p>
        </w:tc>
      </w:tr>
      <w:tr w14:paraId="507A5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9"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758F2D66">
            <w:pPr>
              <w:spacing w:line="360" w:lineRule="exact"/>
              <w:jc w:val="center"/>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3</w:t>
            </w:r>
          </w:p>
        </w:tc>
        <w:tc>
          <w:tcPr>
            <w:tcW w:w="1620" w:type="dxa"/>
            <w:tcBorders>
              <w:top w:val="single" w:color="auto" w:sz="4" w:space="0"/>
              <w:left w:val="single" w:color="auto" w:sz="4" w:space="0"/>
              <w:bottom w:val="single" w:color="auto" w:sz="4" w:space="0"/>
              <w:right w:val="single" w:color="auto" w:sz="4" w:space="0"/>
            </w:tcBorders>
            <w:vAlign w:val="center"/>
          </w:tcPr>
          <w:p w14:paraId="0FC5DCB8">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服务范围</w:t>
            </w:r>
          </w:p>
        </w:tc>
        <w:tc>
          <w:tcPr>
            <w:tcW w:w="7848" w:type="dxa"/>
            <w:tcBorders>
              <w:top w:val="single" w:color="auto" w:sz="4" w:space="0"/>
              <w:left w:val="single" w:color="auto" w:sz="4" w:space="0"/>
              <w:bottom w:val="single" w:color="auto" w:sz="4" w:space="0"/>
              <w:right w:val="single" w:color="auto" w:sz="4" w:space="0"/>
            </w:tcBorders>
            <w:vAlign w:val="center"/>
          </w:tcPr>
          <w:p w14:paraId="474365FF">
            <w:pPr>
              <w:keepNext w:val="0"/>
              <w:keepLines w:val="0"/>
              <w:pageBreakBefore w:val="0"/>
              <w:widowControl w:val="0"/>
              <w:kinsoku/>
              <w:wordWrap/>
              <w:overflowPunct/>
              <w:topLinePunct w:val="0"/>
              <w:autoSpaceDE/>
              <w:autoSpaceDN/>
              <w:bidi w:val="0"/>
              <w:adjustRightInd/>
              <w:snapToGrid/>
              <w:spacing w:line="460" w:lineRule="exact"/>
              <w:textAlignment w:val="auto"/>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详见：第三部分</w:t>
            </w:r>
            <w:r>
              <w:rPr>
                <w:rFonts w:hint="eastAsia" w:ascii="仿宋_GB2312" w:hAnsi="微软雅黑" w:eastAsia="仿宋_GB2312"/>
                <w:b w:val="0"/>
                <w:bCs w:val="0"/>
                <w:sz w:val="28"/>
                <w:szCs w:val="28"/>
                <w:highlight w:val="none"/>
                <w:lang w:val="en-US" w:eastAsia="zh-CN"/>
              </w:rPr>
              <w:t>2026年度中纺大厦B2层污水处理设备维护、维修、保养项目需求</w:t>
            </w:r>
          </w:p>
        </w:tc>
      </w:tr>
      <w:tr w14:paraId="0DEF0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9"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59611F34">
            <w:pPr>
              <w:spacing w:line="360" w:lineRule="exact"/>
              <w:jc w:val="center"/>
              <w:rPr>
                <w:rFonts w:hint="eastAsia" w:ascii="仿宋_GB2312" w:hAnsi="微软雅黑" w:eastAsia="仿宋_GB2312"/>
                <w:sz w:val="28"/>
                <w:szCs w:val="28"/>
                <w:highlight w:val="none"/>
                <w:lang w:eastAsia="zh-CN"/>
              </w:rPr>
            </w:pPr>
            <w:r>
              <w:rPr>
                <w:rFonts w:hint="eastAsia" w:ascii="仿宋_GB2312" w:hAnsi="微软雅黑" w:eastAsia="仿宋_GB2312"/>
                <w:sz w:val="28"/>
                <w:szCs w:val="28"/>
                <w:highlight w:val="none"/>
                <w:lang w:val="en-US" w:eastAsia="zh-CN"/>
              </w:rPr>
              <w:t>4</w:t>
            </w:r>
          </w:p>
        </w:tc>
        <w:tc>
          <w:tcPr>
            <w:tcW w:w="1620" w:type="dxa"/>
            <w:tcBorders>
              <w:top w:val="single" w:color="auto" w:sz="4" w:space="0"/>
              <w:left w:val="single" w:color="auto" w:sz="4" w:space="0"/>
              <w:bottom w:val="single" w:color="auto" w:sz="4" w:space="0"/>
              <w:right w:val="single" w:color="auto" w:sz="4" w:space="0"/>
            </w:tcBorders>
            <w:vAlign w:val="center"/>
          </w:tcPr>
          <w:p w14:paraId="185DAB2C">
            <w:pPr>
              <w:spacing w:line="360" w:lineRule="exact"/>
              <w:jc w:val="center"/>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响应文件</w:t>
            </w:r>
          </w:p>
          <w:p w14:paraId="1D15C979">
            <w:pPr>
              <w:spacing w:line="360" w:lineRule="exact"/>
              <w:jc w:val="center"/>
              <w:rPr>
                <w:rFonts w:ascii="仿宋_GB2312" w:hAnsi="微软雅黑" w:eastAsia="仿宋_GB2312"/>
                <w:sz w:val="28"/>
                <w:szCs w:val="28"/>
                <w:highlight w:val="none"/>
              </w:rPr>
            </w:pPr>
            <w:r>
              <w:rPr>
                <w:rFonts w:hint="eastAsia" w:ascii="仿宋_GB2312" w:hAnsi="微软雅黑" w:eastAsia="仿宋_GB2312"/>
                <w:sz w:val="28"/>
                <w:szCs w:val="28"/>
                <w:highlight w:val="none"/>
              </w:rPr>
              <w:t>递交</w:t>
            </w:r>
          </w:p>
        </w:tc>
        <w:tc>
          <w:tcPr>
            <w:tcW w:w="7848" w:type="dxa"/>
            <w:tcBorders>
              <w:top w:val="single" w:color="auto" w:sz="4" w:space="0"/>
              <w:left w:val="single" w:color="auto" w:sz="4" w:space="0"/>
              <w:bottom w:val="single" w:color="auto" w:sz="4" w:space="0"/>
              <w:right w:val="single" w:color="auto" w:sz="4" w:space="0"/>
            </w:tcBorders>
            <w:vAlign w:val="center"/>
          </w:tcPr>
          <w:p w14:paraId="24F2284B">
            <w:pPr>
              <w:keepNext w:val="0"/>
              <w:keepLines w:val="0"/>
              <w:pageBreakBefore w:val="0"/>
              <w:widowControl w:val="0"/>
              <w:numPr>
                <w:ilvl w:val="0"/>
                <w:numId w:val="0"/>
              </w:numPr>
              <w:kinsoku/>
              <w:wordWrap/>
              <w:overflowPunct/>
              <w:topLinePunct w:val="0"/>
              <w:autoSpaceDE/>
              <w:autoSpaceDN/>
              <w:bidi w:val="0"/>
              <w:adjustRightInd/>
              <w:snapToGrid/>
              <w:spacing w:line="460" w:lineRule="exact"/>
              <w:textAlignment w:val="auto"/>
              <w:rPr>
                <w:rFonts w:hint="eastAsia" w:ascii="仿宋_GB2312" w:hAnsi="微软雅黑" w:eastAsia="仿宋_GB2312" w:cs="宋体"/>
                <w:sz w:val="28"/>
                <w:szCs w:val="28"/>
                <w:highlight w:val="none"/>
                <w:lang w:val="en-US" w:eastAsia="zh-CN"/>
              </w:rPr>
            </w:pPr>
            <w:r>
              <w:rPr>
                <w:rFonts w:hint="eastAsia" w:ascii="仿宋_GB2312" w:hAnsi="微软雅黑" w:eastAsia="仿宋_GB2312" w:cs="宋体"/>
                <w:kern w:val="2"/>
                <w:sz w:val="28"/>
                <w:szCs w:val="28"/>
                <w:highlight w:val="none"/>
                <w:lang w:val="en-US" w:eastAsia="zh-CN" w:bidi="ar-SA"/>
              </w:rPr>
              <w:t>1.</w:t>
            </w:r>
            <w:r>
              <w:rPr>
                <w:rFonts w:hint="eastAsia" w:ascii="仿宋_GB2312" w:hAnsi="微软雅黑" w:eastAsia="仿宋_GB2312" w:cs="宋体"/>
                <w:sz w:val="28"/>
                <w:szCs w:val="28"/>
                <w:highlight w:val="none"/>
                <w:lang w:val="en-US" w:eastAsia="zh-CN"/>
              </w:rPr>
              <w:t>本项目采用“报名需审核”方式，所有响应供应商在报名时需将响应文件</w:t>
            </w:r>
            <w:r>
              <w:rPr>
                <w:rFonts w:hint="eastAsia" w:ascii="仿宋_GB2312" w:hAnsi="微软雅黑" w:eastAsia="仿宋_GB2312" w:cs="宋体"/>
                <w:b/>
                <w:bCs/>
                <w:sz w:val="28"/>
                <w:szCs w:val="28"/>
                <w:highlight w:val="none"/>
                <w:lang w:val="en-US" w:eastAsia="zh-CN"/>
              </w:rPr>
              <w:t>（详见第五部分格式顺序）</w:t>
            </w:r>
            <w:r>
              <w:rPr>
                <w:rFonts w:hint="eastAsia" w:ascii="仿宋_GB2312" w:hAnsi="微软雅黑" w:eastAsia="仿宋_GB2312" w:cs="宋体"/>
                <w:sz w:val="28"/>
                <w:szCs w:val="28"/>
                <w:highlight w:val="none"/>
                <w:lang w:val="en-US" w:eastAsia="zh-CN"/>
              </w:rPr>
              <w:t>上传报名附件，未上传响应文件的审核将不予通过。</w:t>
            </w:r>
          </w:p>
          <w:p w14:paraId="2E449B69">
            <w:pPr>
              <w:keepNext w:val="0"/>
              <w:keepLines w:val="0"/>
              <w:pageBreakBefore w:val="0"/>
              <w:widowControl w:val="0"/>
              <w:numPr>
                <w:ilvl w:val="0"/>
                <w:numId w:val="0"/>
              </w:numPr>
              <w:kinsoku/>
              <w:wordWrap/>
              <w:overflowPunct/>
              <w:topLinePunct w:val="0"/>
              <w:autoSpaceDE/>
              <w:autoSpaceDN/>
              <w:bidi w:val="0"/>
              <w:adjustRightInd/>
              <w:snapToGrid/>
              <w:spacing w:line="460" w:lineRule="exact"/>
              <w:textAlignment w:val="auto"/>
              <w:rPr>
                <w:rFonts w:hint="eastAsia" w:ascii="Times New Roman Regular" w:hAnsi="Times New Roman Regular" w:eastAsia="仿宋_GB2312" w:cs="Times New Roman Regular"/>
                <w:color w:val="000000"/>
                <w:sz w:val="28"/>
                <w:szCs w:val="28"/>
                <w:highlight w:val="none"/>
                <w:lang w:eastAsia="zh-CN" w:bidi="ar"/>
              </w:rPr>
            </w:pPr>
            <w:r>
              <w:rPr>
                <w:rFonts w:hint="eastAsia" w:ascii="仿宋_GB2312" w:hAnsi="微软雅黑" w:eastAsia="仿宋_GB2312" w:cs="宋体"/>
                <w:kern w:val="2"/>
                <w:sz w:val="28"/>
                <w:szCs w:val="28"/>
                <w:highlight w:val="none"/>
                <w:lang w:val="en-US" w:eastAsia="zh-CN" w:bidi="ar-SA"/>
              </w:rPr>
              <w:t>2.响应文件递交地点：</w:t>
            </w:r>
            <w:r>
              <w:rPr>
                <w:rFonts w:hint="default" w:ascii="Times New Roman Regular" w:hAnsi="Times New Roman Regular" w:eastAsia="仿宋_GB2312" w:cs="Times New Roman Regular"/>
                <w:color w:val="000000"/>
                <w:sz w:val="28"/>
                <w:szCs w:val="28"/>
                <w:highlight w:val="none"/>
                <w:lang w:bidi="ar"/>
              </w:rPr>
              <w:t>中粮E采</w:t>
            </w:r>
            <w:r>
              <w:rPr>
                <w:rFonts w:hint="default" w:ascii="Times New Roman Regular" w:hAnsi="Times New Roman Regular" w:eastAsia="仿宋_GB2312" w:cs="Times New Roman Regular"/>
                <w:color w:val="000000"/>
                <w:sz w:val="28"/>
                <w:szCs w:val="28"/>
                <w:highlight w:val="none"/>
                <w:lang w:val="en-US" w:eastAsia="zh-CN" w:bidi="ar"/>
              </w:rPr>
              <w:t>供应链采购</w:t>
            </w:r>
            <w:r>
              <w:rPr>
                <w:rFonts w:hint="default" w:ascii="Times New Roman Regular" w:hAnsi="Times New Roman Regular" w:eastAsia="仿宋_GB2312" w:cs="Times New Roman Regular"/>
                <w:color w:val="000000"/>
                <w:sz w:val="28"/>
                <w:szCs w:val="28"/>
                <w:highlight w:val="none"/>
                <w:lang w:bidi="ar"/>
              </w:rPr>
              <w:t>平台</w:t>
            </w:r>
            <w:r>
              <w:rPr>
                <w:rFonts w:hint="eastAsia" w:ascii="Times New Roman Regular" w:hAnsi="Times New Roman Regular" w:eastAsia="仿宋_GB2312" w:cs="Times New Roman Regular"/>
                <w:color w:val="000000"/>
                <w:sz w:val="28"/>
                <w:szCs w:val="28"/>
                <w:highlight w:val="none"/>
                <w:lang w:eastAsia="zh-CN" w:bidi="ar"/>
              </w:rPr>
              <w:t>（</w:t>
            </w:r>
            <w:r>
              <w:rPr>
                <w:rFonts w:hint="eastAsia" w:ascii="Times New Roman Regular" w:hAnsi="Times New Roman Regular" w:eastAsia="仿宋_GB2312" w:cs="Times New Roman Regular"/>
                <w:color w:val="000000"/>
                <w:sz w:val="28"/>
                <w:szCs w:val="28"/>
                <w:highlight w:val="none"/>
                <w:lang w:val="en-US" w:eastAsia="zh-CN" w:bidi="ar"/>
              </w:rPr>
              <w:t>简称“E采平台”</w:t>
            </w:r>
            <w:r>
              <w:rPr>
                <w:rFonts w:hint="eastAsia" w:ascii="Times New Roman Regular" w:hAnsi="Times New Roman Regular" w:eastAsia="仿宋_GB2312" w:cs="Times New Roman Regular"/>
                <w:color w:val="000000"/>
                <w:sz w:val="28"/>
                <w:szCs w:val="28"/>
                <w:highlight w:val="none"/>
                <w:lang w:eastAsia="zh-CN" w:bidi="ar"/>
              </w:rPr>
              <w:t>）。</w:t>
            </w:r>
          </w:p>
          <w:p w14:paraId="250CE44B">
            <w:pPr>
              <w:keepNext w:val="0"/>
              <w:keepLines w:val="0"/>
              <w:pageBreakBefore w:val="0"/>
              <w:widowControl w:val="0"/>
              <w:numPr>
                <w:ilvl w:val="0"/>
                <w:numId w:val="0"/>
              </w:numPr>
              <w:kinsoku/>
              <w:wordWrap/>
              <w:overflowPunct/>
              <w:topLinePunct w:val="0"/>
              <w:autoSpaceDE/>
              <w:autoSpaceDN/>
              <w:bidi w:val="0"/>
              <w:adjustRightInd/>
              <w:snapToGrid/>
              <w:spacing w:line="460" w:lineRule="exact"/>
              <w:textAlignment w:val="auto"/>
              <w:rPr>
                <w:rFonts w:hint="default" w:ascii="Times New Roman Regular" w:hAnsi="Times New Roman Regular" w:eastAsia="仿宋_GB2312" w:cs="Times New Roman Regular"/>
                <w:color w:val="000000"/>
                <w:sz w:val="28"/>
                <w:szCs w:val="28"/>
                <w:highlight w:val="none"/>
                <w:lang w:val="en-US" w:eastAsia="zh-CN" w:bidi="ar"/>
              </w:rPr>
            </w:pPr>
            <w:r>
              <w:rPr>
                <w:rFonts w:hint="eastAsia" w:ascii="仿宋_GB2312" w:hAnsi="微软雅黑" w:eastAsia="仿宋_GB2312" w:cs="宋体"/>
                <w:kern w:val="2"/>
                <w:sz w:val="28"/>
                <w:szCs w:val="28"/>
                <w:highlight w:val="none"/>
                <w:lang w:val="en-US" w:eastAsia="zh-CN" w:bidi="ar-SA"/>
              </w:rPr>
              <w:t>3.响</w:t>
            </w:r>
            <w:r>
              <w:rPr>
                <w:rFonts w:hint="eastAsia" w:ascii="Times New Roman Regular" w:hAnsi="Times New Roman Regular" w:eastAsia="仿宋_GB2312" w:cs="Times New Roman Regular"/>
                <w:color w:val="000000"/>
                <w:sz w:val="28"/>
                <w:szCs w:val="28"/>
                <w:highlight w:val="none"/>
                <w:lang w:val="en-US" w:eastAsia="zh-CN" w:bidi="ar"/>
              </w:rPr>
              <w:t>应文件递交截止时间以电子交易平台通知时间为准。</w:t>
            </w:r>
          </w:p>
        </w:tc>
      </w:tr>
      <w:tr w14:paraId="2CAB6B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81"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68B509EC">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5</w:t>
            </w:r>
          </w:p>
        </w:tc>
        <w:tc>
          <w:tcPr>
            <w:tcW w:w="1620" w:type="dxa"/>
            <w:tcBorders>
              <w:top w:val="single" w:color="auto" w:sz="4" w:space="0"/>
              <w:left w:val="single" w:color="auto" w:sz="4" w:space="0"/>
              <w:bottom w:val="single" w:color="auto" w:sz="4" w:space="0"/>
              <w:right w:val="single" w:color="auto" w:sz="4" w:space="0"/>
            </w:tcBorders>
            <w:vAlign w:val="center"/>
          </w:tcPr>
          <w:p w14:paraId="4FC1E346">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报价要求</w:t>
            </w:r>
          </w:p>
        </w:tc>
        <w:tc>
          <w:tcPr>
            <w:tcW w:w="7848" w:type="dxa"/>
            <w:tcBorders>
              <w:top w:val="single" w:color="auto" w:sz="4" w:space="0"/>
              <w:left w:val="single" w:color="auto" w:sz="4" w:space="0"/>
              <w:bottom w:val="single" w:color="auto" w:sz="4" w:space="0"/>
              <w:right w:val="single" w:color="auto" w:sz="4" w:space="0"/>
            </w:tcBorders>
            <w:vAlign w:val="center"/>
          </w:tcPr>
          <w:p w14:paraId="44AEA783">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宋体"/>
                <w:sz w:val="28"/>
                <w:szCs w:val="28"/>
                <w:highlight w:val="none"/>
                <w:lang w:val="en-US" w:eastAsia="zh-CN"/>
              </w:rPr>
            </w:pPr>
            <w:r>
              <w:rPr>
                <w:rFonts w:hint="eastAsia" w:ascii="仿宋_GB2312" w:hAnsi="微软雅黑" w:eastAsia="仿宋_GB2312" w:cs="宋体"/>
                <w:sz w:val="28"/>
                <w:szCs w:val="28"/>
                <w:highlight w:val="none"/>
                <w:lang w:val="en-US" w:eastAsia="zh-CN"/>
              </w:rPr>
              <w:t>1.报价应为包含国家规定的增值税税金在内的含税价格；</w:t>
            </w:r>
          </w:p>
          <w:p w14:paraId="761A8E1A">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宋体"/>
                <w:sz w:val="28"/>
                <w:szCs w:val="28"/>
                <w:highlight w:val="none"/>
                <w:lang w:val="en-US" w:eastAsia="zh-CN"/>
              </w:rPr>
            </w:pPr>
            <w:r>
              <w:rPr>
                <w:rFonts w:hint="eastAsia" w:ascii="仿宋_GB2312" w:hAnsi="微软雅黑" w:eastAsia="仿宋_GB2312" w:cs="宋体"/>
                <w:sz w:val="28"/>
                <w:szCs w:val="28"/>
                <w:highlight w:val="none"/>
                <w:lang w:val="en-US" w:eastAsia="zh-CN"/>
              </w:rPr>
              <w:t>2.供应商应充分了解该服务项目的总体情况以及影响报价的其他因素；</w:t>
            </w:r>
          </w:p>
          <w:p w14:paraId="64766A24">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宋体"/>
                <w:sz w:val="28"/>
                <w:szCs w:val="28"/>
                <w:highlight w:val="none"/>
                <w:lang w:val="en-US" w:eastAsia="zh-CN"/>
              </w:rPr>
            </w:pPr>
            <w:r>
              <w:rPr>
                <w:rFonts w:hint="eastAsia" w:ascii="仿宋_GB2312" w:hAnsi="微软雅黑" w:eastAsia="仿宋_GB2312" w:cs="宋体"/>
                <w:sz w:val="28"/>
                <w:szCs w:val="28"/>
                <w:highlight w:val="none"/>
                <w:lang w:val="en-US" w:eastAsia="zh-CN"/>
              </w:rPr>
              <w:t>3.竞价开始时供应商应在规定的竞价时间内输入项目总价（含税），应在竞价开始之前充分核算项目成本避免在规定的竞价时间内因频繁撤销更改报价耽误时间，最终因无法明确报价而导致响应无效；</w:t>
            </w:r>
          </w:p>
          <w:p w14:paraId="0C5A0287">
            <w:pPr>
              <w:keepNext w:val="0"/>
              <w:keepLines w:val="0"/>
              <w:pageBreakBefore w:val="0"/>
              <w:widowControl w:val="0"/>
              <w:kinsoku/>
              <w:wordWrap/>
              <w:overflowPunct/>
              <w:topLinePunct w:val="0"/>
              <w:autoSpaceDE/>
              <w:autoSpaceDN/>
              <w:bidi w:val="0"/>
              <w:adjustRightInd/>
              <w:snapToGrid/>
              <w:spacing w:line="460" w:lineRule="exact"/>
              <w:textAlignment w:val="auto"/>
              <w:rPr>
                <w:rFonts w:hint="default" w:ascii="仿宋_GB2312" w:hAnsi="微软雅黑" w:eastAsia="仿宋_GB2312" w:cs="宋体"/>
                <w:sz w:val="28"/>
                <w:szCs w:val="28"/>
                <w:highlight w:val="none"/>
                <w:lang w:val="en-US" w:eastAsia="zh-CN"/>
              </w:rPr>
            </w:pPr>
            <w:r>
              <w:rPr>
                <w:rFonts w:hint="eastAsia" w:ascii="仿宋_GB2312" w:hAnsi="微软雅黑" w:eastAsia="仿宋_GB2312" w:cs="宋体"/>
                <w:sz w:val="28"/>
                <w:szCs w:val="28"/>
                <w:highlight w:val="none"/>
                <w:lang w:val="en-US" w:eastAsia="zh-CN"/>
              </w:rPr>
              <w:t>4.供应商在竞价开始后填写报价的同时必须上传“报价附件”，报价附件按照第四部分合同文本附件一项目需求书内容格式提供（盖公章），报价附件作为该项目的报价明细合计必须与所报的总价一致（含税）。</w:t>
            </w:r>
          </w:p>
          <w:p w14:paraId="053388DA">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宋体"/>
                <w:sz w:val="28"/>
                <w:szCs w:val="28"/>
                <w:highlight w:val="none"/>
                <w:lang w:val="en-US" w:eastAsia="zh-CN"/>
              </w:rPr>
            </w:pPr>
          </w:p>
        </w:tc>
      </w:tr>
      <w:tr w14:paraId="2A0FE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10" w:hRule="exact"/>
          <w:jc w:val="center"/>
        </w:trPr>
        <w:tc>
          <w:tcPr>
            <w:tcW w:w="887" w:type="dxa"/>
            <w:tcBorders>
              <w:top w:val="single" w:color="auto" w:sz="4" w:space="0"/>
              <w:left w:val="single" w:color="auto" w:sz="4" w:space="0"/>
              <w:bottom w:val="single" w:color="auto" w:sz="4" w:space="0"/>
              <w:right w:val="single" w:color="auto" w:sz="4" w:space="0"/>
            </w:tcBorders>
            <w:shd w:val="clear" w:color="auto" w:fill="auto"/>
            <w:vAlign w:val="center"/>
          </w:tcPr>
          <w:p w14:paraId="4771355D">
            <w:pPr>
              <w:spacing w:line="360" w:lineRule="exact"/>
              <w:jc w:val="center"/>
              <w:rPr>
                <w:rFonts w:hint="eastAsia" w:ascii="仿宋_GB2312" w:hAnsi="微软雅黑" w:eastAsia="仿宋_GB2312" w:cstheme="minorBidi"/>
                <w:kern w:val="2"/>
                <w:sz w:val="28"/>
                <w:szCs w:val="28"/>
                <w:highlight w:val="none"/>
                <w:lang w:val="en-US" w:eastAsia="zh-CN" w:bidi="ar-SA"/>
              </w:rPr>
            </w:pPr>
            <w:r>
              <w:rPr>
                <w:rFonts w:hint="eastAsia" w:ascii="仿宋_GB2312" w:hAnsi="微软雅黑" w:eastAsia="仿宋_GB2312"/>
                <w:sz w:val="28"/>
                <w:szCs w:val="28"/>
                <w:highlight w:val="none"/>
                <w:lang w:val="en-US" w:eastAsia="zh-CN"/>
              </w:rPr>
              <w:t>6</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center"/>
          </w:tcPr>
          <w:p w14:paraId="5FAA7CD7">
            <w:pPr>
              <w:spacing w:line="360" w:lineRule="exact"/>
              <w:jc w:val="center"/>
              <w:rPr>
                <w:rFonts w:hint="eastAsia" w:ascii="仿宋_GB2312" w:hAnsi="微软雅黑" w:eastAsia="仿宋_GB2312" w:cstheme="minorBidi"/>
                <w:kern w:val="2"/>
                <w:sz w:val="28"/>
                <w:szCs w:val="28"/>
                <w:highlight w:val="none"/>
                <w:lang w:val="en-US" w:eastAsia="zh-CN" w:bidi="ar-SA"/>
              </w:rPr>
            </w:pPr>
            <w:r>
              <w:rPr>
                <w:rFonts w:hint="eastAsia" w:ascii="仿宋_GB2312" w:hAnsi="微软雅黑" w:eastAsia="仿宋_GB2312" w:cs="宋体"/>
                <w:sz w:val="28"/>
                <w:szCs w:val="28"/>
                <w:highlight w:val="none"/>
                <w:lang w:val="en-US" w:eastAsia="zh-CN"/>
              </w:rPr>
              <w:t>竞价规则</w:t>
            </w:r>
          </w:p>
        </w:tc>
        <w:tc>
          <w:tcPr>
            <w:tcW w:w="7848" w:type="dxa"/>
            <w:tcBorders>
              <w:top w:val="single" w:color="auto" w:sz="4" w:space="0"/>
              <w:left w:val="single" w:color="auto" w:sz="4" w:space="0"/>
              <w:bottom w:val="single" w:color="auto" w:sz="4" w:space="0"/>
              <w:right w:val="single" w:color="auto" w:sz="4" w:space="0"/>
            </w:tcBorders>
            <w:shd w:val="clear" w:color="auto" w:fill="auto"/>
            <w:vAlign w:val="center"/>
          </w:tcPr>
          <w:p w14:paraId="21E6074D">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宋体"/>
                <w:kern w:val="2"/>
                <w:sz w:val="28"/>
                <w:szCs w:val="28"/>
                <w:highlight w:val="none"/>
                <w:lang w:val="en-US" w:eastAsia="zh-CN" w:bidi="ar-SA"/>
              </w:rPr>
            </w:pPr>
            <w:r>
              <w:rPr>
                <w:rFonts w:hint="eastAsia" w:ascii="仿宋_GB2312" w:hAnsi="微软雅黑" w:eastAsia="仿宋_GB2312" w:cs="宋体"/>
                <w:sz w:val="28"/>
                <w:szCs w:val="28"/>
                <w:highlight w:val="none"/>
              </w:rPr>
              <w:t>按照供应商所报价格（</w:t>
            </w:r>
            <w:r>
              <w:rPr>
                <w:rFonts w:hint="eastAsia" w:ascii="仿宋_GB2312" w:hAnsi="微软雅黑" w:eastAsia="仿宋_GB2312" w:cs="宋体"/>
                <w:sz w:val="28"/>
                <w:szCs w:val="28"/>
                <w:highlight w:val="none"/>
                <w:lang w:val="en-US" w:eastAsia="zh-CN"/>
              </w:rPr>
              <w:t>含税</w:t>
            </w:r>
            <w:r>
              <w:rPr>
                <w:rFonts w:hint="eastAsia" w:ascii="仿宋_GB2312" w:hAnsi="微软雅黑" w:eastAsia="仿宋_GB2312" w:cs="宋体"/>
                <w:sz w:val="28"/>
                <w:szCs w:val="28"/>
                <w:highlight w:val="none"/>
              </w:rPr>
              <w:t>）由低至高</w:t>
            </w:r>
            <w:r>
              <w:rPr>
                <w:rFonts w:hint="eastAsia" w:ascii="仿宋_GB2312" w:hAnsi="微软雅黑" w:eastAsia="仿宋_GB2312" w:cs="宋体"/>
                <w:sz w:val="28"/>
                <w:szCs w:val="28"/>
                <w:highlight w:val="none"/>
                <w:lang w:val="en-US" w:eastAsia="zh-CN"/>
              </w:rPr>
              <w:t>依次</w:t>
            </w:r>
            <w:r>
              <w:rPr>
                <w:rFonts w:hint="eastAsia" w:ascii="仿宋_GB2312" w:hAnsi="微软雅黑" w:eastAsia="仿宋_GB2312" w:cs="宋体"/>
                <w:sz w:val="28"/>
                <w:szCs w:val="28"/>
                <w:highlight w:val="none"/>
              </w:rPr>
              <w:t>进行排序，</w:t>
            </w:r>
            <w:r>
              <w:rPr>
                <w:rFonts w:hint="eastAsia" w:ascii="仿宋_GB2312" w:hAnsi="微软雅黑" w:eastAsia="仿宋_GB2312" w:cs="宋体"/>
                <w:sz w:val="28"/>
                <w:szCs w:val="28"/>
                <w:highlight w:val="none"/>
                <w:lang w:val="en-US" w:eastAsia="zh-CN"/>
              </w:rPr>
              <w:t>排名第一的供应商为本项目中选供应商</w:t>
            </w:r>
            <w:r>
              <w:rPr>
                <w:rFonts w:hint="eastAsia" w:ascii="仿宋_GB2312" w:hAnsi="微软雅黑" w:eastAsia="仿宋_GB2312" w:cs="宋体"/>
                <w:sz w:val="28"/>
                <w:szCs w:val="28"/>
                <w:highlight w:val="none"/>
              </w:rPr>
              <w:t>。</w:t>
            </w:r>
            <w:r>
              <w:rPr>
                <w:rFonts w:hint="default" w:ascii="仿宋_GB2312" w:hAnsi="微软雅黑" w:eastAsia="仿宋_GB2312" w:cs="宋体"/>
                <w:sz w:val="28"/>
                <w:szCs w:val="28"/>
                <w:highlight w:val="none"/>
              </w:rPr>
              <w:t>对</w:t>
            </w:r>
            <w:r>
              <w:rPr>
                <w:rFonts w:hint="eastAsia" w:ascii="仿宋_GB2312" w:hAnsi="微软雅黑" w:eastAsia="仿宋_GB2312" w:cs="宋体"/>
                <w:sz w:val="28"/>
                <w:szCs w:val="28"/>
                <w:highlight w:val="none"/>
                <w:lang w:val="en-US" w:eastAsia="zh-CN"/>
              </w:rPr>
              <w:t>中选及未中选单位</w:t>
            </w:r>
            <w:r>
              <w:rPr>
                <w:rFonts w:hint="default" w:ascii="仿宋_GB2312" w:hAnsi="微软雅黑" w:eastAsia="仿宋_GB2312" w:cs="宋体"/>
                <w:sz w:val="28"/>
                <w:szCs w:val="28"/>
                <w:highlight w:val="none"/>
              </w:rPr>
              <w:t>将以</w:t>
            </w:r>
            <w:r>
              <w:rPr>
                <w:rFonts w:hint="default" w:ascii="仿宋_GB2312" w:hAnsi="微软雅黑" w:eastAsia="仿宋_GB2312" w:cs="宋体"/>
                <w:sz w:val="28"/>
                <w:szCs w:val="28"/>
                <w:highlight w:val="none"/>
                <w:lang w:val="en-US" w:eastAsia="zh-CN"/>
              </w:rPr>
              <w:t>成交结果通知书</w:t>
            </w:r>
            <w:r>
              <w:rPr>
                <w:rFonts w:hint="default" w:ascii="仿宋_GB2312" w:hAnsi="微软雅黑" w:eastAsia="仿宋_GB2312" w:cs="宋体"/>
                <w:sz w:val="28"/>
                <w:szCs w:val="28"/>
                <w:highlight w:val="none"/>
              </w:rPr>
              <w:t>的方式在中粮E采供应链采购平台发布，请</w:t>
            </w:r>
            <w:r>
              <w:rPr>
                <w:rFonts w:hint="default" w:ascii="仿宋_GB2312" w:hAnsi="微软雅黑" w:eastAsia="仿宋_GB2312" w:cs="宋体"/>
                <w:sz w:val="28"/>
                <w:szCs w:val="28"/>
                <w:highlight w:val="none"/>
                <w:lang w:val="en-US" w:eastAsia="zh-CN"/>
              </w:rPr>
              <w:t>参与项目的</w:t>
            </w:r>
            <w:r>
              <w:rPr>
                <w:rFonts w:hint="eastAsia" w:ascii="仿宋_GB2312" w:hAnsi="微软雅黑" w:eastAsia="仿宋_GB2312" w:cs="宋体"/>
                <w:sz w:val="28"/>
                <w:szCs w:val="28"/>
                <w:highlight w:val="none"/>
                <w:lang w:val="en-US" w:eastAsia="zh-CN"/>
              </w:rPr>
              <w:t>所有</w:t>
            </w:r>
            <w:r>
              <w:rPr>
                <w:rFonts w:hint="default" w:ascii="仿宋_GB2312" w:hAnsi="微软雅黑" w:eastAsia="仿宋_GB2312" w:cs="宋体"/>
                <w:sz w:val="28"/>
                <w:szCs w:val="28"/>
                <w:highlight w:val="none"/>
                <w:lang w:val="en-US" w:eastAsia="zh-CN"/>
              </w:rPr>
              <w:t>响应</w:t>
            </w:r>
            <w:r>
              <w:rPr>
                <w:rFonts w:hint="default" w:ascii="仿宋_GB2312" w:hAnsi="微软雅黑" w:eastAsia="仿宋_GB2312" w:cs="宋体"/>
                <w:sz w:val="28"/>
                <w:szCs w:val="28"/>
                <w:highlight w:val="none"/>
              </w:rPr>
              <w:t>单位随时关注</w:t>
            </w:r>
            <w:r>
              <w:rPr>
                <w:rFonts w:hint="default" w:ascii="仿宋_GB2312" w:hAnsi="微软雅黑" w:eastAsia="仿宋_GB2312" w:cs="宋体"/>
                <w:sz w:val="28"/>
                <w:szCs w:val="28"/>
                <w:highlight w:val="none"/>
                <w:lang w:val="en-US" w:eastAsia="zh-CN"/>
              </w:rPr>
              <w:t>平台</w:t>
            </w:r>
            <w:r>
              <w:rPr>
                <w:rFonts w:hint="default" w:ascii="仿宋_GB2312" w:hAnsi="微软雅黑" w:eastAsia="仿宋_GB2312" w:cs="宋体"/>
                <w:sz w:val="28"/>
                <w:szCs w:val="28"/>
                <w:highlight w:val="none"/>
              </w:rPr>
              <w:t>发布的</w:t>
            </w:r>
            <w:r>
              <w:rPr>
                <w:rFonts w:hint="default" w:ascii="仿宋_GB2312" w:hAnsi="微软雅黑" w:eastAsia="仿宋_GB2312" w:cs="宋体"/>
                <w:sz w:val="28"/>
                <w:szCs w:val="28"/>
                <w:highlight w:val="none"/>
                <w:lang w:val="en-US" w:eastAsia="zh-CN"/>
              </w:rPr>
              <w:t>结果通知</w:t>
            </w:r>
            <w:r>
              <w:rPr>
                <w:rFonts w:hint="default" w:ascii="仿宋_GB2312" w:hAnsi="微软雅黑" w:eastAsia="仿宋_GB2312" w:cs="宋体"/>
                <w:sz w:val="28"/>
                <w:szCs w:val="28"/>
                <w:highlight w:val="none"/>
              </w:rPr>
              <w:t>。</w:t>
            </w:r>
          </w:p>
        </w:tc>
      </w:tr>
      <w:tr w14:paraId="0D548D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6" w:hRule="exact"/>
          <w:jc w:val="center"/>
        </w:trPr>
        <w:tc>
          <w:tcPr>
            <w:tcW w:w="887" w:type="dxa"/>
            <w:tcBorders>
              <w:top w:val="single" w:color="auto" w:sz="4" w:space="0"/>
              <w:left w:val="single" w:color="auto" w:sz="4" w:space="0"/>
              <w:bottom w:val="single" w:color="auto" w:sz="4" w:space="0"/>
              <w:right w:val="single" w:color="auto" w:sz="4" w:space="0"/>
            </w:tcBorders>
            <w:shd w:val="clear" w:color="auto" w:fill="auto"/>
            <w:vAlign w:val="center"/>
          </w:tcPr>
          <w:p w14:paraId="65ED3AF0">
            <w:pPr>
              <w:spacing w:line="360" w:lineRule="exact"/>
              <w:jc w:val="center"/>
              <w:rPr>
                <w:rFonts w:hint="eastAsia" w:ascii="仿宋_GB2312" w:hAnsi="微软雅黑" w:eastAsia="仿宋_GB2312" w:cstheme="minorBidi"/>
                <w:kern w:val="2"/>
                <w:sz w:val="28"/>
                <w:szCs w:val="28"/>
                <w:highlight w:val="none"/>
                <w:lang w:val="en-US" w:eastAsia="zh-CN" w:bidi="ar-SA"/>
              </w:rPr>
            </w:pPr>
            <w:r>
              <w:rPr>
                <w:rFonts w:hint="eastAsia" w:ascii="仿宋_GB2312" w:hAnsi="微软雅黑" w:eastAsia="仿宋_GB2312"/>
                <w:sz w:val="28"/>
                <w:szCs w:val="28"/>
                <w:highlight w:val="none"/>
                <w:lang w:val="en-US" w:eastAsia="zh-CN"/>
              </w:rPr>
              <w:t>7</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center"/>
          </w:tcPr>
          <w:p w14:paraId="76ED1DD0">
            <w:pPr>
              <w:spacing w:line="360" w:lineRule="exact"/>
              <w:jc w:val="center"/>
              <w:rPr>
                <w:rFonts w:hint="eastAsia" w:ascii="仿宋_GB2312" w:hAnsi="微软雅黑" w:eastAsia="仿宋_GB2312" w:cstheme="minorBidi"/>
                <w:kern w:val="2"/>
                <w:sz w:val="28"/>
                <w:szCs w:val="28"/>
                <w:highlight w:val="none"/>
                <w:lang w:val="en-US" w:eastAsia="zh-CN" w:bidi="ar-SA"/>
              </w:rPr>
            </w:pPr>
            <w:r>
              <w:rPr>
                <w:rFonts w:hint="eastAsia" w:ascii="仿宋_GB2312" w:hAnsi="微软雅黑" w:eastAsia="仿宋_GB2312"/>
                <w:sz w:val="28"/>
                <w:szCs w:val="28"/>
                <w:highlight w:val="none"/>
                <w:lang w:val="en-US" w:eastAsia="zh-CN"/>
              </w:rPr>
              <w:t>竞价轮次</w:t>
            </w:r>
          </w:p>
        </w:tc>
        <w:tc>
          <w:tcPr>
            <w:tcW w:w="7848" w:type="dxa"/>
            <w:tcBorders>
              <w:top w:val="single" w:color="auto" w:sz="4" w:space="0"/>
              <w:left w:val="single" w:color="auto" w:sz="4" w:space="0"/>
              <w:bottom w:val="single" w:color="auto" w:sz="4" w:space="0"/>
              <w:right w:val="single" w:color="auto" w:sz="4" w:space="0"/>
            </w:tcBorders>
            <w:shd w:val="clear" w:color="auto" w:fill="auto"/>
            <w:vAlign w:val="center"/>
          </w:tcPr>
          <w:p w14:paraId="532DF710">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theme="minorBidi"/>
                <w:bCs/>
                <w:kern w:val="2"/>
                <w:sz w:val="28"/>
                <w:szCs w:val="28"/>
                <w:highlight w:val="none"/>
                <w:lang w:val="en-US" w:eastAsia="zh-CN" w:bidi="ar-SA"/>
              </w:rPr>
            </w:pPr>
            <w:r>
              <w:rPr>
                <w:rFonts w:hint="eastAsia" w:ascii="仿宋_GB2312" w:hAnsi="微软雅黑" w:eastAsia="仿宋_GB2312"/>
                <w:bCs/>
                <w:sz w:val="28"/>
                <w:szCs w:val="28"/>
                <w:highlight w:val="none"/>
                <w:lang w:val="en-US" w:eastAsia="zh-CN"/>
              </w:rPr>
              <w:t>单论竞价，</w:t>
            </w:r>
            <w:r>
              <w:rPr>
                <w:rFonts w:hint="eastAsia" w:ascii="仿宋_GB2312" w:hAnsi="微软雅黑" w:eastAsia="仿宋_GB2312" w:cs="宋体"/>
                <w:sz w:val="28"/>
                <w:szCs w:val="28"/>
                <w:highlight w:val="none"/>
                <w:lang w:val="en-US" w:eastAsia="zh-CN"/>
              </w:rPr>
              <w:t>竞价开始后，供应商在采购人设置时间范围内进行一次报价。</w:t>
            </w:r>
          </w:p>
        </w:tc>
      </w:tr>
      <w:tr w14:paraId="6C803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exact"/>
          <w:jc w:val="center"/>
        </w:trPr>
        <w:tc>
          <w:tcPr>
            <w:tcW w:w="887" w:type="dxa"/>
            <w:tcBorders>
              <w:top w:val="single" w:color="auto" w:sz="4" w:space="0"/>
              <w:left w:val="single" w:color="auto" w:sz="4" w:space="0"/>
              <w:bottom w:val="single" w:color="auto" w:sz="4" w:space="0"/>
              <w:right w:val="single" w:color="auto" w:sz="4" w:space="0"/>
            </w:tcBorders>
            <w:shd w:val="clear" w:color="auto" w:fill="auto"/>
            <w:vAlign w:val="center"/>
          </w:tcPr>
          <w:p w14:paraId="2BF42BA6">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8</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center"/>
          </w:tcPr>
          <w:p w14:paraId="7262C880">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竞价时间</w:t>
            </w:r>
          </w:p>
        </w:tc>
        <w:tc>
          <w:tcPr>
            <w:tcW w:w="7848" w:type="dxa"/>
            <w:tcBorders>
              <w:top w:val="single" w:color="auto" w:sz="4" w:space="0"/>
              <w:left w:val="single" w:color="auto" w:sz="4" w:space="0"/>
              <w:bottom w:val="single" w:color="auto" w:sz="4" w:space="0"/>
              <w:right w:val="single" w:color="auto" w:sz="4" w:space="0"/>
            </w:tcBorders>
            <w:shd w:val="clear" w:color="auto" w:fill="auto"/>
            <w:vAlign w:val="center"/>
          </w:tcPr>
          <w:p w14:paraId="12A151AC">
            <w:pPr>
              <w:spacing w:line="320" w:lineRule="exact"/>
              <w:rPr>
                <w:rFonts w:hint="default" w:ascii="仿宋_GB2312" w:hAnsi="微软雅黑" w:eastAsia="仿宋_GB2312"/>
                <w:bCs/>
                <w:sz w:val="28"/>
                <w:szCs w:val="28"/>
                <w:highlight w:val="none"/>
                <w:lang w:val="en-US" w:eastAsia="zh-CN"/>
              </w:rPr>
            </w:pPr>
            <w:r>
              <w:rPr>
                <w:rFonts w:hint="eastAsia" w:ascii="仿宋_GB2312" w:hAnsi="微软雅黑" w:eastAsia="仿宋_GB2312"/>
                <w:bCs/>
                <w:sz w:val="28"/>
                <w:szCs w:val="28"/>
                <w:highlight w:val="none"/>
                <w:lang w:val="en-US" w:eastAsia="zh-CN"/>
              </w:rPr>
              <w:t>以电子交易平台通知时间为准</w:t>
            </w:r>
          </w:p>
        </w:tc>
      </w:tr>
      <w:tr w14:paraId="6AC156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2" w:hRule="exact"/>
          <w:jc w:val="center"/>
        </w:trPr>
        <w:tc>
          <w:tcPr>
            <w:tcW w:w="887" w:type="dxa"/>
            <w:tcBorders>
              <w:top w:val="single" w:color="auto" w:sz="4" w:space="0"/>
              <w:left w:val="single" w:color="auto" w:sz="4" w:space="0"/>
              <w:bottom w:val="single" w:color="auto" w:sz="4" w:space="0"/>
              <w:right w:val="single" w:color="auto" w:sz="4" w:space="0"/>
            </w:tcBorders>
            <w:vAlign w:val="center"/>
          </w:tcPr>
          <w:p w14:paraId="07956E01">
            <w:pPr>
              <w:spacing w:line="360" w:lineRule="exact"/>
              <w:jc w:val="center"/>
              <w:rPr>
                <w:rFonts w:hint="default"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9</w:t>
            </w:r>
          </w:p>
        </w:tc>
        <w:tc>
          <w:tcPr>
            <w:tcW w:w="1620" w:type="dxa"/>
            <w:tcBorders>
              <w:top w:val="single" w:color="auto" w:sz="4" w:space="0"/>
              <w:left w:val="single" w:color="auto" w:sz="4" w:space="0"/>
              <w:bottom w:val="single" w:color="auto" w:sz="4" w:space="0"/>
              <w:right w:val="single" w:color="auto" w:sz="4" w:space="0"/>
            </w:tcBorders>
            <w:vAlign w:val="center"/>
          </w:tcPr>
          <w:p w14:paraId="34A807A5">
            <w:pPr>
              <w:spacing w:line="360" w:lineRule="exact"/>
              <w:jc w:val="center"/>
              <w:rPr>
                <w:rFonts w:hint="default" w:ascii="仿宋_GB2312" w:hAnsi="微软雅黑" w:eastAsia="仿宋_GB2312"/>
                <w:b w:val="0"/>
                <w:bCs w:val="0"/>
                <w:sz w:val="28"/>
                <w:szCs w:val="28"/>
                <w:highlight w:val="none"/>
                <w:lang w:val="en-US" w:eastAsia="zh-CN"/>
              </w:rPr>
            </w:pPr>
            <w:r>
              <w:rPr>
                <w:rFonts w:hint="eastAsia" w:ascii="仿宋_GB2312" w:hAnsi="微软雅黑" w:eastAsia="仿宋_GB2312"/>
                <w:b w:val="0"/>
                <w:bCs w:val="0"/>
                <w:sz w:val="28"/>
                <w:szCs w:val="28"/>
                <w:highlight w:val="none"/>
                <w:lang w:val="en-US" w:eastAsia="zh-CN"/>
              </w:rPr>
              <w:t>现场踏勘</w:t>
            </w:r>
          </w:p>
        </w:tc>
        <w:tc>
          <w:tcPr>
            <w:tcW w:w="7848" w:type="dxa"/>
            <w:tcBorders>
              <w:top w:val="single" w:color="auto" w:sz="4" w:space="0"/>
              <w:left w:val="single" w:color="auto" w:sz="4" w:space="0"/>
              <w:bottom w:val="single" w:color="auto" w:sz="4" w:space="0"/>
              <w:right w:val="single" w:color="auto" w:sz="4" w:space="0"/>
            </w:tcBorders>
            <w:vAlign w:val="center"/>
          </w:tcPr>
          <w:p w14:paraId="01161479">
            <w:pPr>
              <w:keepNext w:val="0"/>
              <w:keepLines w:val="0"/>
              <w:pageBreakBefore w:val="0"/>
              <w:widowControl w:val="0"/>
              <w:numPr>
                <w:ilvl w:val="0"/>
                <w:numId w:val="1"/>
              </w:numPr>
              <w:kinsoku/>
              <w:wordWrap/>
              <w:overflowPunct/>
              <w:topLinePunct w:val="0"/>
              <w:autoSpaceDE/>
              <w:autoSpaceDN/>
              <w:bidi w:val="0"/>
              <w:adjustRightInd/>
              <w:snapToGrid/>
              <w:spacing w:line="460" w:lineRule="exact"/>
              <w:textAlignment w:val="auto"/>
              <w:rPr>
                <w:rFonts w:hint="eastAsia" w:ascii="仿宋_GB2312" w:hAnsi="微软雅黑" w:eastAsia="仿宋_GB2312"/>
                <w:b w:val="0"/>
                <w:bCs w:val="0"/>
                <w:sz w:val="28"/>
                <w:szCs w:val="28"/>
                <w:highlight w:val="none"/>
                <w:lang w:val="en-US" w:eastAsia="zh-CN"/>
              </w:rPr>
            </w:pPr>
            <w:r>
              <w:rPr>
                <w:rFonts w:hint="eastAsia" w:ascii="仿宋_GB2312" w:hAnsi="微软雅黑" w:eastAsia="仿宋_GB2312"/>
                <w:b w:val="0"/>
                <w:bCs w:val="0"/>
                <w:sz w:val="28"/>
                <w:szCs w:val="28"/>
                <w:highlight w:val="none"/>
                <w:lang w:val="en-US" w:eastAsia="zh-CN"/>
              </w:rPr>
              <w:t>响应供应商必须参加采购方统一组织的线下踏勘；</w:t>
            </w:r>
          </w:p>
          <w:p w14:paraId="417C76A7">
            <w:pPr>
              <w:keepNext w:val="0"/>
              <w:keepLines w:val="0"/>
              <w:pageBreakBefore w:val="0"/>
              <w:widowControl w:val="0"/>
              <w:numPr>
                <w:ilvl w:val="0"/>
                <w:numId w:val="1"/>
              </w:numPr>
              <w:kinsoku/>
              <w:wordWrap/>
              <w:overflowPunct/>
              <w:topLinePunct w:val="0"/>
              <w:autoSpaceDE/>
              <w:autoSpaceDN/>
              <w:bidi w:val="0"/>
              <w:adjustRightInd/>
              <w:snapToGrid/>
              <w:spacing w:line="460" w:lineRule="exact"/>
              <w:textAlignment w:val="auto"/>
              <w:rPr>
                <w:rFonts w:hint="default" w:ascii="仿宋_GB2312" w:hAnsi="微软雅黑" w:eastAsia="仿宋_GB2312"/>
                <w:b w:val="0"/>
                <w:bCs w:val="0"/>
                <w:sz w:val="28"/>
                <w:szCs w:val="28"/>
                <w:highlight w:val="none"/>
                <w:lang w:val="en-US" w:eastAsia="zh-CN"/>
              </w:rPr>
            </w:pPr>
            <w:r>
              <w:rPr>
                <w:rFonts w:hint="eastAsia" w:ascii="仿宋_GB2312" w:hAnsi="微软雅黑" w:eastAsia="仿宋_GB2312"/>
                <w:b w:val="0"/>
                <w:bCs w:val="0"/>
                <w:sz w:val="28"/>
                <w:szCs w:val="28"/>
                <w:highlight w:val="none"/>
                <w:lang w:val="en-US" w:eastAsia="zh-CN"/>
              </w:rPr>
              <w:t>响应单位根据“</w:t>
            </w:r>
            <w:r>
              <w:rPr>
                <w:rFonts w:hint="eastAsia" w:ascii="Times New Roman Regular" w:hAnsi="Times New Roman Regular" w:eastAsia="仿宋_GB2312" w:cs="Times New Roman Regular"/>
                <w:b w:val="0"/>
                <w:bCs w:val="0"/>
                <w:color w:val="000000"/>
                <w:sz w:val="28"/>
                <w:szCs w:val="28"/>
                <w:highlight w:val="none"/>
                <w:lang w:val="en-US" w:eastAsia="zh-CN" w:bidi="ar"/>
              </w:rPr>
              <w:t>E采平台</w:t>
            </w:r>
            <w:r>
              <w:rPr>
                <w:rFonts w:hint="eastAsia" w:ascii="仿宋_GB2312" w:hAnsi="微软雅黑" w:eastAsia="仿宋_GB2312"/>
                <w:b w:val="0"/>
                <w:bCs w:val="0"/>
                <w:sz w:val="28"/>
                <w:szCs w:val="28"/>
                <w:highlight w:val="none"/>
                <w:lang w:val="en-US" w:eastAsia="zh-CN"/>
              </w:rPr>
              <w:t>”发布的时间及要求按时参加，过时不候。</w:t>
            </w:r>
          </w:p>
        </w:tc>
      </w:tr>
      <w:tr w14:paraId="0D6AAC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37" w:hRule="exact"/>
          <w:jc w:val="center"/>
        </w:trPr>
        <w:tc>
          <w:tcPr>
            <w:tcW w:w="887" w:type="dxa"/>
            <w:tcBorders>
              <w:top w:val="single" w:color="auto" w:sz="4" w:space="0"/>
              <w:left w:val="single" w:color="auto" w:sz="4" w:space="0"/>
              <w:bottom w:val="single" w:color="auto" w:sz="4" w:space="0"/>
              <w:right w:val="single" w:color="auto" w:sz="4" w:space="0"/>
            </w:tcBorders>
            <w:shd w:val="clear" w:color="auto" w:fill="auto"/>
            <w:vAlign w:val="center"/>
          </w:tcPr>
          <w:p w14:paraId="4C6A40A4">
            <w:pPr>
              <w:spacing w:line="360" w:lineRule="exact"/>
              <w:jc w:val="center"/>
              <w:rPr>
                <w:rFonts w:hint="default" w:ascii="仿宋_GB2312" w:hAnsi="微软雅黑" w:eastAsia="仿宋_GB2312" w:cstheme="minorBidi"/>
                <w:kern w:val="2"/>
                <w:sz w:val="28"/>
                <w:szCs w:val="28"/>
                <w:highlight w:val="none"/>
                <w:lang w:val="en-US" w:eastAsia="zh-CN" w:bidi="ar-SA"/>
              </w:rPr>
            </w:pPr>
            <w:r>
              <w:rPr>
                <w:rFonts w:hint="eastAsia" w:ascii="仿宋_GB2312" w:hAnsi="微软雅黑" w:eastAsia="仿宋_GB2312"/>
                <w:sz w:val="28"/>
                <w:szCs w:val="28"/>
                <w:highlight w:val="none"/>
                <w:lang w:val="en-US" w:eastAsia="zh-CN"/>
              </w:rPr>
              <w:t>10</w:t>
            </w:r>
          </w:p>
        </w:tc>
        <w:tc>
          <w:tcPr>
            <w:tcW w:w="1620" w:type="dxa"/>
            <w:tcBorders>
              <w:top w:val="single" w:color="auto" w:sz="4" w:space="0"/>
              <w:left w:val="single" w:color="auto" w:sz="4" w:space="0"/>
              <w:bottom w:val="single" w:color="auto" w:sz="4" w:space="0"/>
              <w:right w:val="single" w:color="auto" w:sz="4" w:space="0"/>
            </w:tcBorders>
            <w:shd w:val="clear" w:color="auto" w:fill="auto"/>
            <w:vAlign w:val="center"/>
          </w:tcPr>
          <w:p w14:paraId="305DA6A1">
            <w:pPr>
              <w:spacing w:line="360" w:lineRule="exact"/>
              <w:jc w:val="center"/>
              <w:rPr>
                <w:rFonts w:hint="eastAsia" w:ascii="仿宋_GB2312" w:hAnsi="微软雅黑" w:eastAsia="仿宋_GB2312" w:cstheme="minorBidi"/>
                <w:kern w:val="2"/>
                <w:sz w:val="28"/>
                <w:szCs w:val="28"/>
                <w:highlight w:val="none"/>
                <w:lang w:val="en-US" w:eastAsia="zh-CN" w:bidi="ar-SA"/>
              </w:rPr>
            </w:pPr>
            <w:r>
              <w:rPr>
                <w:rFonts w:hint="eastAsia" w:ascii="仿宋_GB2312" w:hAnsi="微软雅黑" w:eastAsia="仿宋_GB2312"/>
                <w:b/>
                <w:bCs/>
                <w:sz w:val="28"/>
                <w:szCs w:val="28"/>
                <w:highlight w:val="none"/>
                <w:lang w:val="en-US" w:eastAsia="zh-CN"/>
              </w:rPr>
              <w:t>其他要求</w:t>
            </w:r>
          </w:p>
        </w:tc>
        <w:tc>
          <w:tcPr>
            <w:tcW w:w="7848" w:type="dxa"/>
            <w:tcBorders>
              <w:top w:val="single" w:color="auto" w:sz="4" w:space="0"/>
              <w:left w:val="single" w:color="auto" w:sz="4" w:space="0"/>
              <w:bottom w:val="single" w:color="auto" w:sz="4" w:space="0"/>
              <w:right w:val="single" w:color="auto" w:sz="4" w:space="0"/>
            </w:tcBorders>
            <w:shd w:val="clear" w:color="auto" w:fill="auto"/>
            <w:vAlign w:val="center"/>
          </w:tcPr>
          <w:p w14:paraId="2EE73765">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1.提供所有进场人员县级以上医院的体检报告（不得早于合同签订之日一年），体检报告内容至少应包括血压检查、心电图检查（其他体检项不限）。</w:t>
            </w:r>
          </w:p>
          <w:p w14:paraId="0510EB29">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2.提供入场人员的近半年参保记录或其缴纳的第三方责任险（赔付额度不低于当地死亡事故赔偿额度）；</w:t>
            </w:r>
          </w:p>
          <w:p w14:paraId="3F6AE9C6">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3.现场作业人员男年龄不得超过60岁、女不得超过55岁，超出此年龄者不得进场开工；</w:t>
            </w:r>
          </w:p>
          <w:p w14:paraId="116A03CD">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sz w:val="28"/>
                <w:szCs w:val="28"/>
                <w:highlight w:val="none"/>
                <w:lang w:val="en-US" w:eastAsia="zh-CN"/>
              </w:rPr>
            </w:pPr>
            <w:r>
              <w:rPr>
                <w:rFonts w:hint="eastAsia" w:ascii="仿宋_GB2312" w:hAnsi="微软雅黑" w:eastAsia="仿宋_GB2312"/>
                <w:sz w:val="28"/>
                <w:szCs w:val="28"/>
                <w:highlight w:val="none"/>
                <w:lang w:val="en-US" w:eastAsia="zh-CN"/>
              </w:rPr>
              <w:t>4.如涉及危险作业必须履行审批手续，作业人员须持有相应有效证书；</w:t>
            </w:r>
          </w:p>
          <w:p w14:paraId="5267AFCE">
            <w:pPr>
              <w:keepNext w:val="0"/>
              <w:keepLines w:val="0"/>
              <w:pageBreakBefore w:val="0"/>
              <w:widowControl w:val="0"/>
              <w:kinsoku/>
              <w:wordWrap/>
              <w:overflowPunct/>
              <w:topLinePunct w:val="0"/>
              <w:autoSpaceDE/>
              <w:autoSpaceDN/>
              <w:bidi w:val="0"/>
              <w:adjustRightInd/>
              <w:snapToGrid/>
              <w:spacing w:line="460" w:lineRule="exact"/>
              <w:textAlignment w:val="auto"/>
              <w:rPr>
                <w:rFonts w:hint="eastAsia" w:ascii="仿宋_GB2312" w:hAnsi="微软雅黑" w:eastAsia="仿宋_GB2312" w:cstheme="minorBidi"/>
                <w:kern w:val="2"/>
                <w:sz w:val="28"/>
                <w:szCs w:val="28"/>
                <w:highlight w:val="none"/>
                <w:lang w:val="en-US" w:eastAsia="zh-CN" w:bidi="ar-SA"/>
              </w:rPr>
            </w:pPr>
            <w:r>
              <w:rPr>
                <w:rFonts w:hint="eastAsia" w:ascii="仿宋_GB2312" w:hAnsi="微软雅黑" w:eastAsia="仿宋_GB2312"/>
                <w:b/>
                <w:bCs/>
                <w:sz w:val="28"/>
                <w:szCs w:val="28"/>
                <w:highlight w:val="none"/>
                <w:lang w:val="en-US" w:eastAsia="zh-CN"/>
              </w:rPr>
              <w:t>合同签订后在入场之前中选单位应按照以上要求提供文件，以及配合采购单位在“承包商管理系统或危险作业管理系统”提报相关文件；如不提供或不配合的视为放弃中选资格，采购单位将有权重新组织采购或者依次选择排名之后的供应商。</w:t>
            </w:r>
          </w:p>
        </w:tc>
      </w:tr>
    </w:tbl>
    <w:p w14:paraId="799DDF29">
      <w:pPr>
        <w:pStyle w:val="11"/>
        <w:rPr>
          <w:rFonts w:hint="eastAsia"/>
          <w:kern w:val="0"/>
          <w:sz w:val="36"/>
          <w:szCs w:val="36"/>
          <w:highlight w:val="none"/>
          <w:lang w:val="en-US" w:eastAsia="zh-CN"/>
        </w:rPr>
      </w:pPr>
    </w:p>
    <w:p w14:paraId="4D2BAD29">
      <w:pPr>
        <w:rPr>
          <w:rFonts w:hint="eastAsia"/>
          <w:highlight w:val="none"/>
          <w:lang w:val="en-US" w:eastAsia="zh-CN"/>
        </w:rPr>
        <w:sectPr>
          <w:headerReference r:id="rId5" w:type="default"/>
          <w:footerReference r:id="rId6" w:type="default"/>
          <w:pgSz w:w="11906" w:h="16838"/>
          <w:pgMar w:top="1440" w:right="1080" w:bottom="1440" w:left="1080" w:header="851" w:footer="992" w:gutter="0"/>
          <w:pgNumType w:fmt="decimal"/>
          <w:cols w:space="0" w:num="1"/>
          <w:rtlGutter w:val="0"/>
          <w:docGrid w:type="lines" w:linePitch="312" w:charSpace="0"/>
        </w:sectPr>
      </w:pPr>
    </w:p>
    <w:p w14:paraId="39A799B7">
      <w:pPr>
        <w:pStyle w:val="11"/>
        <w:jc w:val="center"/>
        <w:rPr>
          <w:rFonts w:hint="default"/>
          <w:highlight w:val="none"/>
          <w:lang w:val="en-US" w:eastAsia="zh-CN"/>
        </w:rPr>
      </w:pPr>
      <w:r>
        <w:rPr>
          <w:rFonts w:hint="eastAsia"/>
          <w:kern w:val="0"/>
          <w:sz w:val="36"/>
          <w:szCs w:val="36"/>
          <w:highlight w:val="none"/>
          <w:lang w:val="en-US" w:eastAsia="zh-CN"/>
        </w:rPr>
        <w:t>第三部分服务需求</w:t>
      </w:r>
    </w:p>
    <w:p w14:paraId="248D594D">
      <w:pPr>
        <w:keepNext w:val="0"/>
        <w:keepLines w:val="0"/>
        <w:pageBreakBefore w:val="0"/>
        <w:widowControl w:val="0"/>
        <w:kinsoku/>
        <w:wordWrap/>
        <w:overflowPunct/>
        <w:topLinePunct w:val="0"/>
        <w:autoSpaceDE/>
        <w:autoSpaceDN/>
        <w:bidi w:val="0"/>
        <w:adjustRightInd/>
        <w:snapToGrid/>
        <w:spacing w:line="460" w:lineRule="exact"/>
        <w:jc w:val="center"/>
        <w:textAlignment w:val="auto"/>
        <w:rPr>
          <w:rFonts w:hint="default" w:ascii="仿宋_GB2312" w:hAnsi="微软雅黑" w:eastAsia="仿宋_GB2312"/>
          <w:b w:val="0"/>
          <w:bCs w:val="0"/>
          <w:sz w:val="28"/>
          <w:szCs w:val="28"/>
          <w:highlight w:val="none"/>
          <w:lang w:val="en-US" w:eastAsia="zh-CN"/>
        </w:rPr>
      </w:pPr>
      <w:r>
        <w:rPr>
          <w:rFonts w:hint="eastAsia" w:ascii="仿宋_GB2312" w:hAnsi="微软雅黑" w:eastAsia="仿宋_GB2312"/>
          <w:b w:val="0"/>
          <w:bCs w:val="0"/>
          <w:sz w:val="28"/>
          <w:szCs w:val="28"/>
          <w:highlight w:val="none"/>
          <w:lang w:val="en-US" w:eastAsia="zh-CN"/>
        </w:rPr>
        <w:t>2026年度中纺大厦B2层污水处理设备维护、维修、保养项目需求</w:t>
      </w:r>
    </w:p>
    <w:tbl>
      <w:tblPr>
        <w:tblStyle w:val="14"/>
        <w:tblW w:w="9655" w:type="dxa"/>
        <w:tblInd w:w="31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25"/>
        <w:gridCol w:w="1285"/>
        <w:gridCol w:w="1050"/>
        <w:gridCol w:w="1445"/>
        <w:gridCol w:w="85"/>
        <w:gridCol w:w="2750"/>
        <w:gridCol w:w="2135"/>
      </w:tblGrid>
      <w:tr w14:paraId="7509F7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55" w:type="dxa"/>
            <w:gridSpan w:val="8"/>
          </w:tcPr>
          <w:p w14:paraId="12F040D4">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简介：中纺大厦污水处理设备1套（聘请第三方公司安装），处理量为60m³/d</w:t>
            </w:r>
          </w:p>
          <w:p w14:paraId="0A342438">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位置：中纺大厦B2层污水处理设备房内</w:t>
            </w:r>
          </w:p>
          <w:p w14:paraId="1BE22D69">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该设备启用日期：2023年11月</w:t>
            </w:r>
          </w:p>
          <w:p w14:paraId="4CEEEF6A">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年度维保周期：壹年  2026.1.1日起至2026.12.31日止</w:t>
            </w:r>
          </w:p>
          <w:p w14:paraId="5B746388">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年度维保费用：不超于10万元/年</w:t>
            </w:r>
          </w:p>
        </w:tc>
      </w:tr>
      <w:tr w14:paraId="4B1E0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655" w:type="dxa"/>
            <w:gridSpan w:val="8"/>
          </w:tcPr>
          <w:p w14:paraId="11A2AF97">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88415" cy="966470"/>
                  <wp:effectExtent l="0" t="0" r="6985" b="5080"/>
                  <wp:docPr id="1" name="图片 1" descr="d406824472edf4f29f8ed8729ae13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406824472edf4f29f8ed8729ae13e6"/>
                          <pic:cNvPicPr>
                            <a:picLocks noChangeAspect="1"/>
                          </pic:cNvPicPr>
                        </pic:nvPicPr>
                        <pic:blipFill>
                          <a:blip r:embed="rId12"/>
                          <a:stretch>
                            <a:fillRect/>
                          </a:stretch>
                        </pic:blipFill>
                        <pic:spPr>
                          <a:xfrm>
                            <a:off x="0" y="0"/>
                            <a:ext cx="1288415" cy="966470"/>
                          </a:xfrm>
                          <a:prstGeom prst="rect">
                            <a:avLst/>
                          </a:prstGeom>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92860" cy="969645"/>
                  <wp:effectExtent l="0" t="0" r="2540" b="1905"/>
                  <wp:docPr id="2" name="图片 2" descr="ed435e622cc0e9013cd0c2abe6d9b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ed435e622cc0e9013cd0c2abe6d9b94"/>
                          <pic:cNvPicPr>
                            <a:picLocks noChangeAspect="1"/>
                          </pic:cNvPicPr>
                        </pic:nvPicPr>
                        <pic:blipFill>
                          <a:blip r:embed="rId13"/>
                          <a:stretch>
                            <a:fillRect/>
                          </a:stretch>
                        </pic:blipFill>
                        <pic:spPr>
                          <a:xfrm>
                            <a:off x="0" y="0"/>
                            <a:ext cx="1292860" cy="969645"/>
                          </a:xfrm>
                          <a:prstGeom prst="rect">
                            <a:avLst/>
                          </a:prstGeom>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83970" cy="963295"/>
                  <wp:effectExtent l="0" t="0" r="11430" b="8255"/>
                  <wp:docPr id="3" name="图片 3" descr="ee0a244e8be5f7966f09dacce1502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ee0a244e8be5f7966f09dacce1502a6"/>
                          <pic:cNvPicPr>
                            <a:picLocks noChangeAspect="1"/>
                          </pic:cNvPicPr>
                        </pic:nvPicPr>
                        <pic:blipFill>
                          <a:blip r:embed="rId14"/>
                          <a:stretch>
                            <a:fillRect/>
                          </a:stretch>
                        </pic:blipFill>
                        <pic:spPr>
                          <a:xfrm>
                            <a:off x="0" y="0"/>
                            <a:ext cx="1283970" cy="963295"/>
                          </a:xfrm>
                          <a:prstGeom prst="rect">
                            <a:avLst/>
                          </a:prstGeom>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318895" cy="989330"/>
                  <wp:effectExtent l="0" t="0" r="14605" b="1270"/>
                  <wp:docPr id="9" name="图片 9" descr="af75beeb2f24c5c4ea9afa730be8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af75beeb2f24c5c4ea9afa730be8445"/>
                          <pic:cNvPicPr>
                            <a:picLocks noChangeAspect="1"/>
                          </pic:cNvPicPr>
                        </pic:nvPicPr>
                        <pic:blipFill>
                          <a:blip r:embed="rId15"/>
                          <a:stretch>
                            <a:fillRect/>
                          </a:stretch>
                        </pic:blipFill>
                        <pic:spPr>
                          <a:xfrm>
                            <a:off x="0" y="0"/>
                            <a:ext cx="1318895" cy="989330"/>
                          </a:xfrm>
                          <a:prstGeom prst="rect">
                            <a:avLst/>
                          </a:prstGeom>
                        </pic:spPr>
                      </pic:pic>
                    </a:graphicData>
                  </a:graphic>
                </wp:inline>
              </w:drawing>
            </w:r>
          </w:p>
        </w:tc>
      </w:tr>
      <w:tr w14:paraId="37AFA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trPr>
        <w:tc>
          <w:tcPr>
            <w:tcW w:w="780" w:type="dxa"/>
          </w:tcPr>
          <w:p w14:paraId="6557C4E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序号</w:t>
            </w:r>
          </w:p>
        </w:tc>
        <w:tc>
          <w:tcPr>
            <w:tcW w:w="1410" w:type="dxa"/>
            <w:gridSpan w:val="2"/>
          </w:tcPr>
          <w:p w14:paraId="1B2E9DA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项目</w:t>
            </w:r>
          </w:p>
        </w:tc>
        <w:tc>
          <w:tcPr>
            <w:tcW w:w="1050" w:type="dxa"/>
          </w:tcPr>
          <w:p w14:paraId="2761421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频次</w:t>
            </w:r>
          </w:p>
        </w:tc>
        <w:tc>
          <w:tcPr>
            <w:tcW w:w="1530" w:type="dxa"/>
            <w:gridSpan w:val="2"/>
          </w:tcPr>
          <w:p w14:paraId="239156B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次/年</w:t>
            </w:r>
          </w:p>
        </w:tc>
        <w:tc>
          <w:tcPr>
            <w:tcW w:w="4885" w:type="dxa"/>
            <w:gridSpan w:val="2"/>
          </w:tcPr>
          <w:p w14:paraId="2B83544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备注</w:t>
            </w:r>
          </w:p>
        </w:tc>
      </w:tr>
      <w:tr w14:paraId="4B922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08C727AE">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1410" w:type="dxa"/>
            <w:gridSpan w:val="2"/>
          </w:tcPr>
          <w:p w14:paraId="6F7E7AB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日常水质检测</w:t>
            </w:r>
          </w:p>
        </w:tc>
        <w:tc>
          <w:tcPr>
            <w:tcW w:w="1050" w:type="dxa"/>
          </w:tcPr>
          <w:p w14:paraId="3C885CD0">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10次/年</w:t>
            </w:r>
          </w:p>
        </w:tc>
        <w:tc>
          <w:tcPr>
            <w:tcW w:w="1530" w:type="dxa"/>
            <w:gridSpan w:val="2"/>
          </w:tcPr>
          <w:p w14:paraId="52DA7DB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10</w:t>
            </w:r>
          </w:p>
        </w:tc>
        <w:tc>
          <w:tcPr>
            <w:tcW w:w="4885" w:type="dxa"/>
            <w:gridSpan w:val="2"/>
          </w:tcPr>
          <w:p w14:paraId="065A59CD">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根据离线和在线膜清洗次数进行监督检测（每次检测提供2份报告）</w:t>
            </w:r>
          </w:p>
        </w:tc>
      </w:tr>
      <w:tr w14:paraId="267262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55AE1083">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2</w:t>
            </w:r>
          </w:p>
        </w:tc>
        <w:tc>
          <w:tcPr>
            <w:tcW w:w="1410" w:type="dxa"/>
            <w:gridSpan w:val="2"/>
          </w:tcPr>
          <w:p w14:paraId="39FA8D9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第三方水质检测</w:t>
            </w:r>
          </w:p>
        </w:tc>
        <w:tc>
          <w:tcPr>
            <w:tcW w:w="1050" w:type="dxa"/>
          </w:tcPr>
          <w:p w14:paraId="09C8401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4次/年</w:t>
            </w:r>
          </w:p>
        </w:tc>
        <w:tc>
          <w:tcPr>
            <w:tcW w:w="1530" w:type="dxa"/>
            <w:gridSpan w:val="2"/>
          </w:tcPr>
          <w:p w14:paraId="7327C1CD">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4885" w:type="dxa"/>
            <w:gridSpan w:val="2"/>
          </w:tcPr>
          <w:p w14:paraId="1DEA79E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CMA/CNAS检测/每季度1次（每次检测提供2份报告）</w:t>
            </w:r>
          </w:p>
        </w:tc>
      </w:tr>
      <w:tr w14:paraId="2E63E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75B7C8DE">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3</w:t>
            </w:r>
          </w:p>
        </w:tc>
        <w:tc>
          <w:tcPr>
            <w:tcW w:w="1410" w:type="dxa"/>
            <w:gridSpan w:val="2"/>
            <w:vMerge w:val="restart"/>
          </w:tcPr>
          <w:p w14:paraId="0394488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膜清洗</w:t>
            </w:r>
          </w:p>
        </w:tc>
        <w:tc>
          <w:tcPr>
            <w:tcW w:w="1050" w:type="dxa"/>
          </w:tcPr>
          <w:p w14:paraId="74D7389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离线</w:t>
            </w:r>
          </w:p>
        </w:tc>
        <w:tc>
          <w:tcPr>
            <w:tcW w:w="1530" w:type="dxa"/>
            <w:gridSpan w:val="2"/>
          </w:tcPr>
          <w:p w14:paraId="7129719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4885" w:type="dxa"/>
            <w:gridSpan w:val="2"/>
          </w:tcPr>
          <w:p w14:paraId="574EFEB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人工清洗每季度一次，涉及有限空间作业</w:t>
            </w:r>
          </w:p>
        </w:tc>
      </w:tr>
      <w:tr w14:paraId="173C02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41EB002E">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1410" w:type="dxa"/>
            <w:gridSpan w:val="2"/>
            <w:vMerge w:val="continue"/>
          </w:tcPr>
          <w:p w14:paraId="3285550D">
            <w:pPr>
              <w:jc w:val="center"/>
              <w:rPr>
                <w:rFonts w:hint="eastAsia" w:ascii="仿宋_GB2312" w:hAnsi="仿宋_GB2312" w:eastAsia="仿宋_GB2312" w:cs="仿宋_GB2312"/>
                <w:sz w:val="28"/>
                <w:szCs w:val="28"/>
                <w:highlight w:val="none"/>
                <w:vertAlign w:val="baseline"/>
                <w:lang w:val="en-US" w:eastAsia="zh-CN"/>
              </w:rPr>
            </w:pPr>
          </w:p>
        </w:tc>
        <w:tc>
          <w:tcPr>
            <w:tcW w:w="1050" w:type="dxa"/>
          </w:tcPr>
          <w:p w14:paraId="7EF6FB4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在线</w:t>
            </w:r>
          </w:p>
        </w:tc>
        <w:tc>
          <w:tcPr>
            <w:tcW w:w="1530" w:type="dxa"/>
            <w:gridSpan w:val="2"/>
          </w:tcPr>
          <w:p w14:paraId="7EDD634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4885" w:type="dxa"/>
            <w:gridSpan w:val="2"/>
          </w:tcPr>
          <w:p w14:paraId="1B174E3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每两个月一次，根据污水处理实际情况随时增加清洗频次（不增加费用）</w:t>
            </w:r>
          </w:p>
        </w:tc>
      </w:tr>
      <w:tr w14:paraId="5A3ED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782789EE">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w:t>
            </w:r>
          </w:p>
        </w:tc>
        <w:tc>
          <w:tcPr>
            <w:tcW w:w="1410" w:type="dxa"/>
            <w:gridSpan w:val="2"/>
          </w:tcPr>
          <w:p w14:paraId="4248F2F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污水处理工艺系统设备的维护</w:t>
            </w:r>
          </w:p>
        </w:tc>
        <w:tc>
          <w:tcPr>
            <w:tcW w:w="1050" w:type="dxa"/>
          </w:tcPr>
          <w:p w14:paraId="69DA26AD">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1530" w:type="dxa"/>
            <w:gridSpan w:val="2"/>
          </w:tcPr>
          <w:p w14:paraId="6033DAC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4885" w:type="dxa"/>
            <w:gridSpan w:val="2"/>
          </w:tcPr>
          <w:p w14:paraId="5DCD1BF9">
            <w:pPr>
              <w:jc w:val="both"/>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每周巡检2次（紧急维修接报后4小时内必须到现场进行处置），日常维护系统运行，记录相关数据，并对设备进行日常维护维修。单次1000元以下（含1000）损坏维修费用由乙方负责。</w:t>
            </w:r>
          </w:p>
        </w:tc>
      </w:tr>
      <w:tr w14:paraId="237429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6866C02B">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1410" w:type="dxa"/>
            <w:gridSpan w:val="2"/>
          </w:tcPr>
          <w:p w14:paraId="55A77B5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风机机油皮带更换</w:t>
            </w:r>
          </w:p>
        </w:tc>
        <w:tc>
          <w:tcPr>
            <w:tcW w:w="1050" w:type="dxa"/>
          </w:tcPr>
          <w:p w14:paraId="125ACA8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1次/半年</w:t>
            </w:r>
          </w:p>
        </w:tc>
        <w:tc>
          <w:tcPr>
            <w:tcW w:w="1530" w:type="dxa"/>
            <w:gridSpan w:val="2"/>
          </w:tcPr>
          <w:p w14:paraId="35B9EE4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2</w:t>
            </w:r>
          </w:p>
        </w:tc>
        <w:tc>
          <w:tcPr>
            <w:tcW w:w="4885" w:type="dxa"/>
            <w:gridSpan w:val="2"/>
          </w:tcPr>
          <w:p w14:paraId="5DF13E6D">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根据使用情况随时更换（不再增加任何费用）</w:t>
            </w:r>
          </w:p>
        </w:tc>
      </w:tr>
      <w:tr w14:paraId="3F605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02C8B7B6">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7</w:t>
            </w:r>
          </w:p>
        </w:tc>
        <w:tc>
          <w:tcPr>
            <w:tcW w:w="1410" w:type="dxa"/>
            <w:gridSpan w:val="2"/>
          </w:tcPr>
          <w:p w14:paraId="4876F52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电气系统维护</w:t>
            </w:r>
          </w:p>
        </w:tc>
        <w:tc>
          <w:tcPr>
            <w:tcW w:w="1050" w:type="dxa"/>
          </w:tcPr>
          <w:p w14:paraId="5245FE0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1530" w:type="dxa"/>
            <w:gridSpan w:val="2"/>
          </w:tcPr>
          <w:p w14:paraId="2CEE037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4885" w:type="dxa"/>
            <w:gridSpan w:val="2"/>
          </w:tcPr>
          <w:p w14:paraId="00875C24">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维修及更换配件单次1000元以下（含1000）损坏维修费用由乙方负责</w:t>
            </w:r>
          </w:p>
        </w:tc>
      </w:tr>
      <w:tr w14:paraId="23DBAB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18E7C878">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8</w:t>
            </w:r>
          </w:p>
        </w:tc>
        <w:tc>
          <w:tcPr>
            <w:tcW w:w="1410" w:type="dxa"/>
            <w:gridSpan w:val="2"/>
          </w:tcPr>
          <w:p w14:paraId="17E15BA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管路部分维护</w:t>
            </w:r>
          </w:p>
        </w:tc>
        <w:tc>
          <w:tcPr>
            <w:tcW w:w="1050" w:type="dxa"/>
          </w:tcPr>
          <w:p w14:paraId="7A68C66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1530" w:type="dxa"/>
            <w:gridSpan w:val="2"/>
          </w:tcPr>
          <w:p w14:paraId="5D79AF4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4885" w:type="dxa"/>
            <w:gridSpan w:val="2"/>
          </w:tcPr>
          <w:p w14:paraId="4A676FBE">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维修及更换配件单次1000元以下（含1000）损坏维修费用由乙方负责</w:t>
            </w:r>
          </w:p>
        </w:tc>
      </w:tr>
      <w:tr w14:paraId="184905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43732A96">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9</w:t>
            </w:r>
          </w:p>
        </w:tc>
        <w:tc>
          <w:tcPr>
            <w:tcW w:w="1410" w:type="dxa"/>
            <w:gridSpan w:val="2"/>
          </w:tcPr>
          <w:p w14:paraId="22A4455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水箱维护</w:t>
            </w:r>
          </w:p>
        </w:tc>
        <w:tc>
          <w:tcPr>
            <w:tcW w:w="1050" w:type="dxa"/>
          </w:tcPr>
          <w:p w14:paraId="7C9317A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1530" w:type="dxa"/>
            <w:gridSpan w:val="2"/>
          </w:tcPr>
          <w:p w14:paraId="7DF71AE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4885" w:type="dxa"/>
            <w:gridSpan w:val="2"/>
          </w:tcPr>
          <w:p w14:paraId="225AC2EF">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除锈刷漆、水箱锁更换等，维修及更换配件单次1000元以下（含1000）损坏维修费用由乙方负责</w:t>
            </w:r>
          </w:p>
        </w:tc>
      </w:tr>
      <w:tr w14:paraId="6C524F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67277F80">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10</w:t>
            </w:r>
          </w:p>
        </w:tc>
        <w:tc>
          <w:tcPr>
            <w:tcW w:w="1410" w:type="dxa"/>
            <w:gridSpan w:val="2"/>
          </w:tcPr>
          <w:p w14:paraId="30F5DAA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药剂费</w:t>
            </w:r>
          </w:p>
        </w:tc>
        <w:tc>
          <w:tcPr>
            <w:tcW w:w="1050" w:type="dxa"/>
          </w:tcPr>
          <w:p w14:paraId="2A55A50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1530" w:type="dxa"/>
            <w:gridSpan w:val="2"/>
          </w:tcPr>
          <w:p w14:paraId="179AEA5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4885" w:type="dxa"/>
            <w:gridSpan w:val="2"/>
          </w:tcPr>
          <w:p w14:paraId="73EC731A">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次氯酸钠、柠檬酸、氢氧化钠等药剂</w:t>
            </w:r>
          </w:p>
        </w:tc>
      </w:tr>
      <w:tr w14:paraId="48FB3E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tcPr>
          <w:p w14:paraId="0EF1BA29">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11</w:t>
            </w:r>
          </w:p>
        </w:tc>
        <w:tc>
          <w:tcPr>
            <w:tcW w:w="1410" w:type="dxa"/>
            <w:gridSpan w:val="2"/>
          </w:tcPr>
          <w:p w14:paraId="6739C2B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水泵维修费</w:t>
            </w:r>
          </w:p>
        </w:tc>
        <w:tc>
          <w:tcPr>
            <w:tcW w:w="1050" w:type="dxa"/>
          </w:tcPr>
          <w:p w14:paraId="654E1B2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1530" w:type="dxa"/>
            <w:gridSpan w:val="2"/>
          </w:tcPr>
          <w:p w14:paraId="1E55EB6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4885" w:type="dxa"/>
            <w:gridSpan w:val="2"/>
          </w:tcPr>
          <w:p w14:paraId="275D4BEE">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调节池内的污水处理提升泵以及膜池、好氧池、缺氧池、清水池内的所有水泵进行维修</w:t>
            </w:r>
          </w:p>
        </w:tc>
      </w:tr>
      <w:tr w14:paraId="510247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trPr>
        <w:tc>
          <w:tcPr>
            <w:tcW w:w="9655" w:type="dxa"/>
            <w:gridSpan w:val="8"/>
          </w:tcPr>
          <w:p w14:paraId="22615A61">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备注：污水排放水质需满足《水污染物综合排放标准》（DB11/307-2013）和《污水排入城市下水道水质标准》（GB/T31962-2015），各项指标要求如下。</w:t>
            </w:r>
          </w:p>
          <w:p w14:paraId="7A506DA5">
            <w:pPr>
              <w:jc w:val="both"/>
              <w:rPr>
                <w:rFonts w:hint="eastAsia" w:ascii="仿宋_GB2312" w:hAnsi="仿宋_GB2312" w:eastAsia="仿宋_GB2312" w:cs="仿宋_GB2312"/>
                <w:sz w:val="28"/>
                <w:szCs w:val="28"/>
                <w:highlight w:val="none"/>
                <w:vertAlign w:val="baseline"/>
                <w:lang w:val="en-US" w:eastAsia="zh-CN"/>
              </w:rPr>
            </w:pPr>
          </w:p>
        </w:tc>
      </w:tr>
      <w:tr w14:paraId="6C6907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tcPr>
          <w:p w14:paraId="435981C6">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序号</w:t>
            </w:r>
          </w:p>
        </w:tc>
        <w:tc>
          <w:tcPr>
            <w:tcW w:w="3780" w:type="dxa"/>
            <w:gridSpan w:val="3"/>
          </w:tcPr>
          <w:p w14:paraId="05D6298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项目</w:t>
            </w:r>
          </w:p>
        </w:tc>
        <w:tc>
          <w:tcPr>
            <w:tcW w:w="2835" w:type="dxa"/>
            <w:gridSpan w:val="2"/>
          </w:tcPr>
          <w:p w14:paraId="5F629A5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排放限值</w:t>
            </w:r>
          </w:p>
        </w:tc>
        <w:tc>
          <w:tcPr>
            <w:tcW w:w="2135" w:type="dxa"/>
          </w:tcPr>
          <w:p w14:paraId="70A784A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单位</w:t>
            </w:r>
          </w:p>
        </w:tc>
      </w:tr>
      <w:tr w14:paraId="1D4DAB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41E2EE6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3780" w:type="dxa"/>
            <w:gridSpan w:val="3"/>
          </w:tcPr>
          <w:p w14:paraId="762C237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pH值/无量纲</w:t>
            </w:r>
          </w:p>
        </w:tc>
        <w:tc>
          <w:tcPr>
            <w:tcW w:w="2835" w:type="dxa"/>
            <w:gridSpan w:val="2"/>
          </w:tcPr>
          <w:p w14:paraId="2F7314F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6.0-9.0</w:t>
            </w:r>
          </w:p>
        </w:tc>
        <w:tc>
          <w:tcPr>
            <w:tcW w:w="2135" w:type="dxa"/>
          </w:tcPr>
          <w:p w14:paraId="1E043B5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w:t>
            </w:r>
          </w:p>
        </w:tc>
      </w:tr>
      <w:tr w14:paraId="63989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4667195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2</w:t>
            </w:r>
          </w:p>
        </w:tc>
        <w:tc>
          <w:tcPr>
            <w:tcW w:w="3780" w:type="dxa"/>
            <w:gridSpan w:val="3"/>
          </w:tcPr>
          <w:p w14:paraId="2166C5A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悬浮物（SS）</w:t>
            </w:r>
          </w:p>
        </w:tc>
        <w:tc>
          <w:tcPr>
            <w:tcW w:w="2835" w:type="dxa"/>
            <w:gridSpan w:val="2"/>
          </w:tcPr>
          <w:p w14:paraId="4E5A2E5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400</w:t>
            </w:r>
          </w:p>
        </w:tc>
        <w:tc>
          <w:tcPr>
            <w:tcW w:w="2135" w:type="dxa"/>
          </w:tcPr>
          <w:p w14:paraId="40BDE94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7358F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5EA084F0">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3</w:t>
            </w:r>
          </w:p>
        </w:tc>
        <w:tc>
          <w:tcPr>
            <w:tcW w:w="3780" w:type="dxa"/>
            <w:gridSpan w:val="3"/>
          </w:tcPr>
          <w:p w14:paraId="0BB6EB4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五日生化需氧量（BOD5）</w:t>
            </w:r>
          </w:p>
        </w:tc>
        <w:tc>
          <w:tcPr>
            <w:tcW w:w="2835" w:type="dxa"/>
            <w:gridSpan w:val="2"/>
          </w:tcPr>
          <w:p w14:paraId="2E8159B0">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300</w:t>
            </w:r>
          </w:p>
        </w:tc>
        <w:tc>
          <w:tcPr>
            <w:tcW w:w="2135" w:type="dxa"/>
          </w:tcPr>
          <w:p w14:paraId="11B2101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4B60CA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4598981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3780" w:type="dxa"/>
            <w:gridSpan w:val="3"/>
          </w:tcPr>
          <w:p w14:paraId="22B745FD">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化学需氧量（CODcr）</w:t>
            </w:r>
          </w:p>
        </w:tc>
        <w:tc>
          <w:tcPr>
            <w:tcW w:w="2835" w:type="dxa"/>
            <w:gridSpan w:val="2"/>
          </w:tcPr>
          <w:p w14:paraId="2693097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500</w:t>
            </w:r>
          </w:p>
        </w:tc>
        <w:tc>
          <w:tcPr>
            <w:tcW w:w="2135" w:type="dxa"/>
          </w:tcPr>
          <w:p w14:paraId="4A5B7EE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34BA4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1FD2A78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w:t>
            </w:r>
          </w:p>
        </w:tc>
        <w:tc>
          <w:tcPr>
            <w:tcW w:w="3780" w:type="dxa"/>
            <w:gridSpan w:val="3"/>
          </w:tcPr>
          <w:p w14:paraId="2FB3094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氨氮</w:t>
            </w:r>
          </w:p>
        </w:tc>
        <w:tc>
          <w:tcPr>
            <w:tcW w:w="2835" w:type="dxa"/>
            <w:gridSpan w:val="2"/>
          </w:tcPr>
          <w:p w14:paraId="76387970">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45</w:t>
            </w:r>
          </w:p>
        </w:tc>
        <w:tc>
          <w:tcPr>
            <w:tcW w:w="2135" w:type="dxa"/>
          </w:tcPr>
          <w:p w14:paraId="359F063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3374C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137FC38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3780" w:type="dxa"/>
            <w:gridSpan w:val="3"/>
          </w:tcPr>
          <w:p w14:paraId="43EF89D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总磷（以P计）</w:t>
            </w:r>
          </w:p>
        </w:tc>
        <w:tc>
          <w:tcPr>
            <w:tcW w:w="2835" w:type="dxa"/>
            <w:gridSpan w:val="2"/>
          </w:tcPr>
          <w:p w14:paraId="581A74D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8</w:t>
            </w:r>
          </w:p>
        </w:tc>
        <w:tc>
          <w:tcPr>
            <w:tcW w:w="2135" w:type="dxa"/>
          </w:tcPr>
          <w:p w14:paraId="663DDD9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6C6640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vAlign w:val="top"/>
          </w:tcPr>
          <w:p w14:paraId="0ECABBF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7</w:t>
            </w:r>
          </w:p>
        </w:tc>
        <w:tc>
          <w:tcPr>
            <w:tcW w:w="3780" w:type="dxa"/>
            <w:gridSpan w:val="3"/>
          </w:tcPr>
          <w:p w14:paraId="6CD1E780">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动植物油</w:t>
            </w:r>
          </w:p>
        </w:tc>
        <w:tc>
          <w:tcPr>
            <w:tcW w:w="2835" w:type="dxa"/>
            <w:gridSpan w:val="2"/>
          </w:tcPr>
          <w:p w14:paraId="3EE82E9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≤50</w:t>
            </w:r>
          </w:p>
        </w:tc>
        <w:tc>
          <w:tcPr>
            <w:tcW w:w="2135" w:type="dxa"/>
          </w:tcPr>
          <w:p w14:paraId="04F2E0D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47FFF1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7" w:hRule="atLeast"/>
        </w:trPr>
        <w:tc>
          <w:tcPr>
            <w:tcW w:w="9655" w:type="dxa"/>
            <w:gridSpan w:val="8"/>
          </w:tcPr>
          <w:p w14:paraId="3689B976">
            <w:pPr>
              <w:keepNext w:val="0"/>
              <w:keepLines w:val="0"/>
              <w:widowControl/>
              <w:suppressLineNumbers w:val="0"/>
              <w:spacing w:line="360" w:lineRule="auto"/>
              <w:jc w:val="left"/>
              <w:rPr>
                <w:rFonts w:hint="eastAsia" w:ascii="仿宋_GB2312" w:hAnsi="仿宋_GB2312" w:eastAsia="仿宋_GB2312" w:cs="仿宋_GB2312"/>
                <w:color w:val="000000"/>
                <w:kern w:val="0"/>
                <w:sz w:val="28"/>
                <w:szCs w:val="28"/>
                <w:highlight w:val="none"/>
                <w:lang w:val="en-US" w:eastAsia="zh-CN" w:bidi="ar"/>
              </w:rPr>
            </w:pPr>
            <w:r>
              <w:rPr>
                <w:rFonts w:hint="eastAsia" w:ascii="仿宋_GB2312" w:hAnsi="仿宋_GB2312" w:eastAsia="仿宋_GB2312" w:cs="仿宋_GB2312"/>
                <w:color w:val="000000"/>
                <w:kern w:val="0"/>
                <w:sz w:val="28"/>
                <w:szCs w:val="28"/>
                <w:highlight w:val="none"/>
                <w:lang w:val="en-US" w:eastAsia="zh-CN" w:bidi="ar"/>
              </w:rPr>
              <w:t>供应商要求：</w:t>
            </w:r>
          </w:p>
          <w:p w14:paraId="3B70F575">
            <w:pPr>
              <w:numPr>
                <w:ilvl w:val="0"/>
                <w:numId w:val="2"/>
              </w:numPr>
              <w:spacing w:line="360" w:lineRule="auto"/>
              <w:ind w:left="0" w:leftChars="0" w:firstLine="0" w:firstLineChars="0"/>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营业执照（具备水污染治理相关内容）；</w:t>
            </w:r>
          </w:p>
          <w:p w14:paraId="6B011D1F">
            <w:pPr>
              <w:numPr>
                <w:ilvl w:val="0"/>
                <w:numId w:val="2"/>
              </w:numPr>
              <w:spacing w:line="360" w:lineRule="auto"/>
              <w:ind w:left="0" w:leftChars="0" w:firstLine="0" w:firstLineChars="0"/>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安全生产许可证；</w:t>
            </w:r>
          </w:p>
          <w:p w14:paraId="2B9DC7CC">
            <w:pPr>
              <w:numPr>
                <w:ilvl w:val="0"/>
                <w:numId w:val="2"/>
              </w:numPr>
              <w:spacing w:line="360" w:lineRule="auto"/>
              <w:ind w:left="0" w:leftChars="0" w:firstLine="0" w:firstLineChars="0"/>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能够完成中纺大厦污水处理设备的维护、维修、保养工作；</w:t>
            </w:r>
          </w:p>
        </w:tc>
      </w:tr>
    </w:tbl>
    <w:p w14:paraId="4CE205D2">
      <w:pPr>
        <w:ind w:left="218" w:leftChars="104" w:firstLine="0" w:firstLineChars="0"/>
        <w:jc w:val="both"/>
        <w:rPr>
          <w:rFonts w:hint="eastAsia" w:ascii="仿宋_GB2312" w:hAnsi="仿宋" w:eastAsia="仿宋_GB2312"/>
          <w:b/>
          <w:sz w:val="36"/>
          <w:szCs w:val="36"/>
          <w:highlight w:val="none"/>
          <w:lang w:val="en-US" w:eastAsia="zh-CN"/>
        </w:rPr>
      </w:pPr>
      <w:r>
        <w:rPr>
          <w:rFonts w:hint="eastAsia" w:ascii="仿宋_GB2312" w:hAnsi="仿宋" w:eastAsia="仿宋_GB2312"/>
          <w:b/>
          <w:sz w:val="36"/>
          <w:szCs w:val="36"/>
          <w:highlight w:val="none"/>
          <w:lang w:val="en-US" w:eastAsia="zh-CN"/>
        </w:rPr>
        <w:t>附表1设备清单</w:t>
      </w:r>
    </w:p>
    <w:tbl>
      <w:tblPr>
        <w:tblStyle w:val="13"/>
        <w:tblpPr w:leftFromText="180" w:rightFromText="180" w:vertAnchor="text" w:horzAnchor="page" w:tblpX="1315" w:tblpY="89"/>
        <w:tblOverlap w:val="never"/>
        <w:tblW w:w="9790" w:type="dxa"/>
        <w:tblInd w:w="0" w:type="dxa"/>
        <w:tblLayout w:type="fixed"/>
        <w:tblCellMar>
          <w:top w:w="0" w:type="dxa"/>
          <w:left w:w="108" w:type="dxa"/>
          <w:bottom w:w="0" w:type="dxa"/>
          <w:right w:w="108" w:type="dxa"/>
        </w:tblCellMar>
      </w:tblPr>
      <w:tblGrid>
        <w:gridCol w:w="640"/>
        <w:gridCol w:w="1709"/>
        <w:gridCol w:w="4801"/>
        <w:gridCol w:w="765"/>
        <w:gridCol w:w="780"/>
        <w:gridCol w:w="1095"/>
      </w:tblGrid>
      <w:tr w14:paraId="3924DB9C">
        <w:tblPrEx>
          <w:tblCellMar>
            <w:top w:w="0" w:type="dxa"/>
            <w:left w:w="108" w:type="dxa"/>
            <w:bottom w:w="0" w:type="dxa"/>
            <w:right w:w="108" w:type="dxa"/>
          </w:tblCellMar>
        </w:tblPrEx>
        <w:trPr>
          <w:trHeight w:val="522" w:hRule="atLeast"/>
        </w:trPr>
        <w:tc>
          <w:tcPr>
            <w:tcW w:w="640"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32FC5A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序号</w:t>
            </w:r>
          </w:p>
        </w:tc>
        <w:tc>
          <w:tcPr>
            <w:tcW w:w="1709"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76D5B7C">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货物名称</w:t>
            </w:r>
          </w:p>
        </w:tc>
        <w:tc>
          <w:tcPr>
            <w:tcW w:w="480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9B8DAC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规格/参数</w:t>
            </w:r>
          </w:p>
        </w:tc>
        <w:tc>
          <w:tcPr>
            <w:tcW w:w="76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462F03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数量</w:t>
            </w:r>
          </w:p>
        </w:tc>
        <w:tc>
          <w:tcPr>
            <w:tcW w:w="780" w:type="dxa"/>
            <w:vMerge w:val="restart"/>
            <w:tcBorders>
              <w:top w:val="single" w:color="auto" w:sz="4" w:space="0"/>
              <w:left w:val="single" w:color="auto" w:sz="4" w:space="0"/>
              <w:bottom w:val="single" w:color="000000" w:sz="4" w:space="0"/>
              <w:right w:val="single" w:color="auto" w:sz="4" w:space="0"/>
            </w:tcBorders>
            <w:shd w:val="clear" w:color="auto" w:fill="auto"/>
            <w:vAlign w:val="center"/>
          </w:tcPr>
          <w:p w14:paraId="2C6551BA">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单位</w:t>
            </w:r>
          </w:p>
        </w:tc>
        <w:tc>
          <w:tcPr>
            <w:tcW w:w="1095"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14:paraId="56E9404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品牌</w:t>
            </w:r>
          </w:p>
        </w:tc>
      </w:tr>
      <w:tr w14:paraId="7AF495B3">
        <w:tblPrEx>
          <w:tblCellMar>
            <w:top w:w="0" w:type="dxa"/>
            <w:left w:w="108" w:type="dxa"/>
            <w:bottom w:w="0" w:type="dxa"/>
            <w:right w:w="108" w:type="dxa"/>
          </w:tblCellMar>
        </w:tblPrEx>
        <w:trPr>
          <w:trHeight w:val="312" w:hRule="atLeast"/>
        </w:trPr>
        <w:tc>
          <w:tcPr>
            <w:tcW w:w="640" w:type="dxa"/>
            <w:vMerge w:val="continue"/>
            <w:tcBorders>
              <w:top w:val="single" w:color="auto" w:sz="4" w:space="0"/>
              <w:left w:val="single" w:color="auto" w:sz="4" w:space="0"/>
              <w:bottom w:val="single" w:color="auto" w:sz="4" w:space="0"/>
              <w:right w:val="single" w:color="auto" w:sz="4" w:space="0"/>
            </w:tcBorders>
            <w:vAlign w:val="center"/>
          </w:tcPr>
          <w:p w14:paraId="6CB5942D">
            <w:pPr>
              <w:widowControl/>
              <w:spacing w:line="300" w:lineRule="exact"/>
              <w:jc w:val="left"/>
              <w:rPr>
                <w:rFonts w:hint="eastAsia" w:ascii="仿宋" w:hAnsi="仿宋" w:eastAsia="仿宋" w:cs="仿宋"/>
                <w:color w:val="000000"/>
                <w:kern w:val="0"/>
                <w:sz w:val="20"/>
                <w:szCs w:val="20"/>
                <w:highlight w:val="none"/>
              </w:rPr>
            </w:pPr>
          </w:p>
        </w:tc>
        <w:tc>
          <w:tcPr>
            <w:tcW w:w="1709" w:type="dxa"/>
            <w:vMerge w:val="continue"/>
            <w:tcBorders>
              <w:top w:val="single" w:color="auto" w:sz="4" w:space="0"/>
              <w:left w:val="single" w:color="auto" w:sz="4" w:space="0"/>
              <w:bottom w:val="single" w:color="auto" w:sz="4" w:space="0"/>
              <w:right w:val="single" w:color="auto" w:sz="4" w:space="0"/>
            </w:tcBorders>
            <w:vAlign w:val="center"/>
          </w:tcPr>
          <w:p w14:paraId="3610A800">
            <w:pPr>
              <w:widowControl/>
              <w:spacing w:line="300" w:lineRule="exact"/>
              <w:jc w:val="left"/>
              <w:rPr>
                <w:rFonts w:hint="eastAsia" w:ascii="仿宋" w:hAnsi="仿宋" w:eastAsia="仿宋" w:cs="仿宋"/>
                <w:color w:val="000000"/>
                <w:kern w:val="0"/>
                <w:sz w:val="20"/>
                <w:szCs w:val="20"/>
                <w:highlight w:val="none"/>
              </w:rPr>
            </w:pPr>
          </w:p>
        </w:tc>
        <w:tc>
          <w:tcPr>
            <w:tcW w:w="4801" w:type="dxa"/>
            <w:vMerge w:val="continue"/>
            <w:tcBorders>
              <w:top w:val="single" w:color="auto" w:sz="4" w:space="0"/>
              <w:left w:val="single" w:color="auto" w:sz="4" w:space="0"/>
              <w:bottom w:val="single" w:color="auto" w:sz="4" w:space="0"/>
              <w:right w:val="single" w:color="auto" w:sz="4" w:space="0"/>
            </w:tcBorders>
            <w:vAlign w:val="center"/>
          </w:tcPr>
          <w:p w14:paraId="1F420824">
            <w:pPr>
              <w:widowControl/>
              <w:spacing w:line="300" w:lineRule="exact"/>
              <w:jc w:val="left"/>
              <w:rPr>
                <w:rFonts w:hint="eastAsia" w:ascii="仿宋" w:hAnsi="仿宋" w:eastAsia="仿宋" w:cs="仿宋"/>
                <w:color w:val="000000"/>
                <w:kern w:val="0"/>
                <w:sz w:val="20"/>
                <w:szCs w:val="20"/>
                <w:highlight w:val="none"/>
              </w:rPr>
            </w:pPr>
          </w:p>
        </w:tc>
        <w:tc>
          <w:tcPr>
            <w:tcW w:w="765" w:type="dxa"/>
            <w:vMerge w:val="continue"/>
            <w:tcBorders>
              <w:top w:val="single" w:color="auto" w:sz="4" w:space="0"/>
              <w:left w:val="single" w:color="auto" w:sz="4" w:space="0"/>
              <w:bottom w:val="single" w:color="auto" w:sz="4" w:space="0"/>
              <w:right w:val="single" w:color="auto" w:sz="4" w:space="0"/>
            </w:tcBorders>
            <w:vAlign w:val="center"/>
          </w:tcPr>
          <w:p w14:paraId="7614283E">
            <w:pPr>
              <w:widowControl/>
              <w:spacing w:line="300" w:lineRule="exact"/>
              <w:jc w:val="left"/>
              <w:rPr>
                <w:rFonts w:hint="eastAsia" w:ascii="仿宋" w:hAnsi="仿宋" w:eastAsia="仿宋" w:cs="仿宋"/>
                <w:color w:val="000000"/>
                <w:kern w:val="0"/>
                <w:sz w:val="20"/>
                <w:szCs w:val="20"/>
                <w:highlight w:val="none"/>
              </w:rPr>
            </w:pPr>
          </w:p>
        </w:tc>
        <w:tc>
          <w:tcPr>
            <w:tcW w:w="780" w:type="dxa"/>
            <w:vMerge w:val="continue"/>
            <w:tcBorders>
              <w:top w:val="single" w:color="auto" w:sz="4" w:space="0"/>
              <w:left w:val="single" w:color="auto" w:sz="4" w:space="0"/>
              <w:bottom w:val="single" w:color="000000" w:sz="4" w:space="0"/>
              <w:right w:val="single" w:color="auto" w:sz="4" w:space="0"/>
            </w:tcBorders>
            <w:vAlign w:val="center"/>
          </w:tcPr>
          <w:p w14:paraId="2A6A8E18">
            <w:pPr>
              <w:widowControl/>
              <w:spacing w:line="300" w:lineRule="exact"/>
              <w:jc w:val="left"/>
              <w:rPr>
                <w:rFonts w:hint="eastAsia" w:ascii="仿宋" w:hAnsi="仿宋" w:eastAsia="仿宋" w:cs="仿宋"/>
                <w:color w:val="000000"/>
                <w:kern w:val="0"/>
                <w:sz w:val="20"/>
                <w:szCs w:val="20"/>
                <w:highlight w:val="none"/>
              </w:rPr>
            </w:pPr>
          </w:p>
        </w:tc>
        <w:tc>
          <w:tcPr>
            <w:tcW w:w="1095" w:type="dxa"/>
            <w:vMerge w:val="continue"/>
            <w:tcBorders>
              <w:top w:val="single" w:color="auto" w:sz="4" w:space="0"/>
              <w:left w:val="single" w:color="auto" w:sz="4" w:space="0"/>
              <w:bottom w:val="single" w:color="auto" w:sz="4" w:space="0"/>
              <w:right w:val="single" w:color="auto" w:sz="4" w:space="0"/>
            </w:tcBorders>
            <w:vAlign w:val="center"/>
          </w:tcPr>
          <w:p w14:paraId="7A1D85E5">
            <w:pPr>
              <w:widowControl/>
              <w:spacing w:line="300" w:lineRule="exact"/>
              <w:jc w:val="left"/>
              <w:rPr>
                <w:rFonts w:hint="eastAsia" w:ascii="仿宋" w:hAnsi="仿宋" w:eastAsia="仿宋" w:cs="仿宋"/>
                <w:color w:val="000000"/>
                <w:kern w:val="0"/>
                <w:sz w:val="20"/>
                <w:szCs w:val="20"/>
                <w:highlight w:val="none"/>
              </w:rPr>
            </w:pPr>
          </w:p>
        </w:tc>
      </w:tr>
      <w:tr w14:paraId="0D266D14">
        <w:tblPrEx>
          <w:tblCellMar>
            <w:top w:w="0" w:type="dxa"/>
            <w:left w:w="108" w:type="dxa"/>
            <w:bottom w:w="0" w:type="dxa"/>
            <w:right w:w="108" w:type="dxa"/>
          </w:tblCellMar>
        </w:tblPrEx>
        <w:trPr>
          <w:trHeight w:val="499"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0137024A">
            <w:pPr>
              <w:widowControl/>
              <w:spacing w:line="300" w:lineRule="exact"/>
              <w:jc w:val="center"/>
              <w:rPr>
                <w:rFonts w:hint="eastAsia" w:ascii="仿宋" w:hAnsi="仿宋" w:eastAsia="仿宋" w:cs="仿宋"/>
                <w:b/>
                <w:bCs/>
                <w:color w:val="000000"/>
                <w:kern w:val="0"/>
                <w:sz w:val="20"/>
                <w:szCs w:val="20"/>
                <w:highlight w:val="none"/>
              </w:rPr>
            </w:pPr>
          </w:p>
        </w:tc>
        <w:tc>
          <w:tcPr>
            <w:tcW w:w="1709" w:type="dxa"/>
            <w:tcBorders>
              <w:top w:val="nil"/>
              <w:left w:val="nil"/>
              <w:bottom w:val="single" w:color="auto" w:sz="4" w:space="0"/>
              <w:right w:val="single" w:color="auto" w:sz="4" w:space="0"/>
            </w:tcBorders>
            <w:shd w:val="clear" w:color="auto" w:fill="auto"/>
            <w:vAlign w:val="center"/>
          </w:tcPr>
          <w:p w14:paraId="5DB857C1">
            <w:pPr>
              <w:widowControl/>
              <w:spacing w:line="300" w:lineRule="exact"/>
              <w:jc w:val="left"/>
              <w:rPr>
                <w:rFonts w:hint="eastAsia" w:ascii="仿宋" w:hAnsi="仿宋" w:eastAsia="仿宋" w:cs="仿宋"/>
                <w:b/>
                <w:bCs/>
                <w:color w:val="000000"/>
                <w:kern w:val="0"/>
                <w:sz w:val="20"/>
                <w:szCs w:val="20"/>
                <w:highlight w:val="none"/>
              </w:rPr>
            </w:pPr>
            <w:r>
              <w:rPr>
                <w:rFonts w:hint="eastAsia" w:ascii="仿宋" w:hAnsi="仿宋" w:eastAsia="仿宋" w:cs="仿宋"/>
                <w:b/>
                <w:bCs/>
                <w:color w:val="000000"/>
                <w:kern w:val="0"/>
                <w:sz w:val="20"/>
                <w:szCs w:val="20"/>
                <w:highlight w:val="none"/>
              </w:rPr>
              <w:t>一体化箱体</w:t>
            </w:r>
          </w:p>
        </w:tc>
        <w:tc>
          <w:tcPr>
            <w:tcW w:w="4801" w:type="dxa"/>
            <w:tcBorders>
              <w:top w:val="nil"/>
              <w:left w:val="nil"/>
              <w:bottom w:val="single" w:color="auto" w:sz="4" w:space="0"/>
              <w:right w:val="single" w:color="auto" w:sz="4" w:space="0"/>
            </w:tcBorders>
            <w:shd w:val="clear" w:color="auto" w:fill="auto"/>
            <w:vAlign w:val="center"/>
          </w:tcPr>
          <w:p w14:paraId="42E807C1">
            <w:pPr>
              <w:widowControl/>
              <w:spacing w:line="300" w:lineRule="exact"/>
              <w:jc w:val="left"/>
              <w:rPr>
                <w:rFonts w:hint="eastAsia" w:ascii="仿宋" w:hAnsi="仿宋" w:eastAsia="仿宋" w:cs="仿宋"/>
                <w:b/>
                <w:bCs/>
                <w:color w:val="000000"/>
                <w:kern w:val="0"/>
                <w:sz w:val="20"/>
                <w:szCs w:val="20"/>
                <w:highlight w:val="none"/>
              </w:rPr>
            </w:pPr>
            <w:r>
              <w:rPr>
                <w:rFonts w:hint="eastAsia" w:ascii="仿宋" w:hAnsi="仿宋" w:eastAsia="仿宋" w:cs="仿宋"/>
                <w:b/>
                <w:bCs/>
                <w:color w:val="000000"/>
                <w:kern w:val="0"/>
                <w:sz w:val="20"/>
                <w:szCs w:val="20"/>
                <w:highlight w:val="none"/>
              </w:rPr>
              <w:t>　</w:t>
            </w:r>
          </w:p>
        </w:tc>
        <w:tc>
          <w:tcPr>
            <w:tcW w:w="765" w:type="dxa"/>
            <w:tcBorders>
              <w:top w:val="nil"/>
              <w:left w:val="nil"/>
              <w:bottom w:val="single" w:color="auto" w:sz="4" w:space="0"/>
              <w:right w:val="single" w:color="auto" w:sz="4" w:space="0"/>
            </w:tcBorders>
            <w:shd w:val="clear" w:color="auto" w:fill="auto"/>
            <w:noWrap/>
            <w:vAlign w:val="center"/>
          </w:tcPr>
          <w:p w14:paraId="42D06F92">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w:t>
            </w:r>
          </w:p>
        </w:tc>
        <w:tc>
          <w:tcPr>
            <w:tcW w:w="780" w:type="dxa"/>
            <w:tcBorders>
              <w:top w:val="nil"/>
              <w:left w:val="nil"/>
              <w:bottom w:val="single" w:color="auto" w:sz="4" w:space="0"/>
              <w:right w:val="single" w:color="auto" w:sz="4" w:space="0"/>
            </w:tcBorders>
            <w:shd w:val="clear" w:color="auto" w:fill="auto"/>
            <w:noWrap/>
            <w:vAlign w:val="center"/>
          </w:tcPr>
          <w:p w14:paraId="28A2FBBE">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w:t>
            </w:r>
          </w:p>
        </w:tc>
        <w:tc>
          <w:tcPr>
            <w:tcW w:w="1095" w:type="dxa"/>
            <w:tcBorders>
              <w:top w:val="nil"/>
              <w:left w:val="nil"/>
              <w:bottom w:val="single" w:color="auto" w:sz="4" w:space="0"/>
              <w:right w:val="single" w:color="auto" w:sz="4" w:space="0"/>
            </w:tcBorders>
            <w:shd w:val="clear" w:color="auto" w:fill="auto"/>
            <w:noWrap/>
            <w:vAlign w:val="center"/>
          </w:tcPr>
          <w:p w14:paraId="7512FC0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w:t>
            </w:r>
          </w:p>
        </w:tc>
      </w:tr>
      <w:tr w14:paraId="0095D6D0">
        <w:tblPrEx>
          <w:tblCellMar>
            <w:top w:w="0" w:type="dxa"/>
            <w:left w:w="108" w:type="dxa"/>
            <w:bottom w:w="0" w:type="dxa"/>
            <w:right w:w="108" w:type="dxa"/>
          </w:tblCellMar>
        </w:tblPrEx>
        <w:trPr>
          <w:trHeight w:val="889"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75AE899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1709" w:type="dxa"/>
            <w:tcBorders>
              <w:top w:val="nil"/>
              <w:left w:val="nil"/>
              <w:bottom w:val="single" w:color="auto" w:sz="4" w:space="0"/>
              <w:right w:val="single" w:color="auto" w:sz="4" w:space="0"/>
            </w:tcBorders>
            <w:shd w:val="clear" w:color="auto" w:fill="auto"/>
            <w:vAlign w:val="center"/>
          </w:tcPr>
          <w:p w14:paraId="329F5FC1">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缺氧池</w:t>
            </w:r>
          </w:p>
        </w:tc>
        <w:tc>
          <w:tcPr>
            <w:tcW w:w="4801" w:type="dxa"/>
            <w:tcBorders>
              <w:top w:val="nil"/>
              <w:left w:val="nil"/>
              <w:bottom w:val="single" w:color="auto" w:sz="4" w:space="0"/>
              <w:right w:val="single" w:color="auto" w:sz="4" w:space="0"/>
            </w:tcBorders>
            <w:shd w:val="clear" w:color="auto" w:fill="auto"/>
            <w:vAlign w:val="center"/>
          </w:tcPr>
          <w:p w14:paraId="7B123A47">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材质：碳钢（箱体内三油两布）；</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厚度：5.7mm</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尺寸：3.0*1.5*2.0m</w:t>
            </w:r>
          </w:p>
        </w:tc>
        <w:tc>
          <w:tcPr>
            <w:tcW w:w="765" w:type="dxa"/>
            <w:tcBorders>
              <w:top w:val="nil"/>
              <w:left w:val="nil"/>
              <w:bottom w:val="single" w:color="auto" w:sz="4" w:space="0"/>
              <w:right w:val="single" w:color="auto" w:sz="4" w:space="0"/>
            </w:tcBorders>
            <w:shd w:val="clear" w:color="auto" w:fill="auto"/>
            <w:vAlign w:val="center"/>
          </w:tcPr>
          <w:p w14:paraId="6E5306E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7C9F61D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座</w:t>
            </w:r>
          </w:p>
        </w:tc>
        <w:tc>
          <w:tcPr>
            <w:tcW w:w="1095" w:type="dxa"/>
            <w:tcBorders>
              <w:top w:val="nil"/>
              <w:left w:val="nil"/>
              <w:bottom w:val="single" w:color="auto" w:sz="4" w:space="0"/>
              <w:right w:val="single" w:color="auto" w:sz="4" w:space="0"/>
            </w:tcBorders>
            <w:shd w:val="clear" w:color="auto" w:fill="auto"/>
            <w:noWrap/>
            <w:vAlign w:val="center"/>
          </w:tcPr>
          <w:p w14:paraId="78E537AA">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68B036C3">
        <w:tblPrEx>
          <w:tblCellMar>
            <w:top w:w="0" w:type="dxa"/>
            <w:left w:w="108" w:type="dxa"/>
            <w:bottom w:w="0" w:type="dxa"/>
            <w:right w:w="108" w:type="dxa"/>
          </w:tblCellMar>
        </w:tblPrEx>
        <w:trPr>
          <w:trHeight w:val="949"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46F3D99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1709" w:type="dxa"/>
            <w:tcBorders>
              <w:top w:val="nil"/>
              <w:left w:val="nil"/>
              <w:bottom w:val="single" w:color="auto" w:sz="4" w:space="0"/>
              <w:right w:val="single" w:color="auto" w:sz="4" w:space="0"/>
            </w:tcBorders>
            <w:shd w:val="clear" w:color="auto" w:fill="auto"/>
            <w:vAlign w:val="center"/>
          </w:tcPr>
          <w:p w14:paraId="162F39E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接触氧化池</w:t>
            </w:r>
          </w:p>
        </w:tc>
        <w:tc>
          <w:tcPr>
            <w:tcW w:w="4801" w:type="dxa"/>
            <w:tcBorders>
              <w:top w:val="nil"/>
              <w:left w:val="nil"/>
              <w:bottom w:val="single" w:color="auto" w:sz="4" w:space="0"/>
              <w:right w:val="single" w:color="auto" w:sz="4" w:space="0"/>
            </w:tcBorders>
            <w:shd w:val="clear" w:color="auto" w:fill="auto"/>
            <w:vAlign w:val="center"/>
          </w:tcPr>
          <w:p w14:paraId="6CB8763D">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材质：碳钢（箱体内三油两布）；</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厚度：5.7mm</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尺寸：2.2*2.2*2.0m</w:t>
            </w:r>
          </w:p>
        </w:tc>
        <w:tc>
          <w:tcPr>
            <w:tcW w:w="765" w:type="dxa"/>
            <w:tcBorders>
              <w:top w:val="nil"/>
              <w:left w:val="nil"/>
              <w:bottom w:val="single" w:color="auto" w:sz="4" w:space="0"/>
              <w:right w:val="single" w:color="auto" w:sz="4" w:space="0"/>
            </w:tcBorders>
            <w:shd w:val="clear" w:color="auto" w:fill="auto"/>
            <w:vAlign w:val="center"/>
          </w:tcPr>
          <w:p w14:paraId="1341F05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29DD62C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座</w:t>
            </w:r>
          </w:p>
        </w:tc>
        <w:tc>
          <w:tcPr>
            <w:tcW w:w="1095" w:type="dxa"/>
            <w:tcBorders>
              <w:top w:val="nil"/>
              <w:left w:val="nil"/>
              <w:bottom w:val="single" w:color="auto" w:sz="4" w:space="0"/>
              <w:right w:val="single" w:color="auto" w:sz="4" w:space="0"/>
            </w:tcBorders>
            <w:shd w:val="clear" w:color="auto" w:fill="auto"/>
            <w:noWrap/>
            <w:vAlign w:val="center"/>
          </w:tcPr>
          <w:p w14:paraId="3985D9D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05AF442F">
        <w:tblPrEx>
          <w:tblCellMar>
            <w:top w:w="0" w:type="dxa"/>
            <w:left w:w="108" w:type="dxa"/>
            <w:bottom w:w="0" w:type="dxa"/>
            <w:right w:w="108" w:type="dxa"/>
          </w:tblCellMar>
        </w:tblPrEx>
        <w:trPr>
          <w:trHeight w:val="964"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4C5E975E">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3</w:t>
            </w:r>
          </w:p>
        </w:tc>
        <w:tc>
          <w:tcPr>
            <w:tcW w:w="1709" w:type="dxa"/>
            <w:tcBorders>
              <w:top w:val="nil"/>
              <w:left w:val="nil"/>
              <w:bottom w:val="single" w:color="auto" w:sz="4" w:space="0"/>
              <w:right w:val="single" w:color="auto" w:sz="4" w:space="0"/>
            </w:tcBorders>
            <w:shd w:val="clear" w:color="auto" w:fill="auto"/>
            <w:vAlign w:val="center"/>
          </w:tcPr>
          <w:p w14:paraId="684323C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O+MBR膜池</w:t>
            </w:r>
          </w:p>
        </w:tc>
        <w:tc>
          <w:tcPr>
            <w:tcW w:w="4801" w:type="dxa"/>
            <w:tcBorders>
              <w:top w:val="nil"/>
              <w:left w:val="nil"/>
              <w:bottom w:val="single" w:color="auto" w:sz="4" w:space="0"/>
              <w:right w:val="single" w:color="auto" w:sz="4" w:space="0"/>
            </w:tcBorders>
            <w:shd w:val="clear" w:color="auto" w:fill="auto"/>
            <w:vAlign w:val="center"/>
          </w:tcPr>
          <w:p w14:paraId="49D750DC">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材质：碳钢（箱体内三油两布）；</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厚度：5.7mm</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尺寸：3.3*2.2*2.0m</w:t>
            </w:r>
          </w:p>
        </w:tc>
        <w:tc>
          <w:tcPr>
            <w:tcW w:w="765" w:type="dxa"/>
            <w:tcBorders>
              <w:top w:val="nil"/>
              <w:left w:val="nil"/>
              <w:bottom w:val="single" w:color="auto" w:sz="4" w:space="0"/>
              <w:right w:val="single" w:color="auto" w:sz="4" w:space="0"/>
            </w:tcBorders>
            <w:shd w:val="clear" w:color="auto" w:fill="auto"/>
            <w:vAlign w:val="center"/>
          </w:tcPr>
          <w:p w14:paraId="561F164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0B65354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座</w:t>
            </w:r>
          </w:p>
        </w:tc>
        <w:tc>
          <w:tcPr>
            <w:tcW w:w="1095" w:type="dxa"/>
            <w:tcBorders>
              <w:top w:val="nil"/>
              <w:left w:val="nil"/>
              <w:bottom w:val="single" w:color="auto" w:sz="4" w:space="0"/>
              <w:right w:val="single" w:color="auto" w:sz="4" w:space="0"/>
            </w:tcBorders>
            <w:shd w:val="clear" w:color="auto" w:fill="auto"/>
            <w:noWrap/>
            <w:vAlign w:val="center"/>
          </w:tcPr>
          <w:p w14:paraId="030EDBB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7B92BFC0">
        <w:tblPrEx>
          <w:tblCellMar>
            <w:top w:w="0" w:type="dxa"/>
            <w:left w:w="108" w:type="dxa"/>
            <w:bottom w:w="0" w:type="dxa"/>
            <w:right w:w="108" w:type="dxa"/>
          </w:tblCellMar>
        </w:tblPrEx>
        <w:trPr>
          <w:trHeight w:val="994"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74ED6E32">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4</w:t>
            </w:r>
          </w:p>
        </w:tc>
        <w:tc>
          <w:tcPr>
            <w:tcW w:w="1709" w:type="dxa"/>
            <w:tcBorders>
              <w:top w:val="nil"/>
              <w:left w:val="nil"/>
              <w:bottom w:val="single" w:color="auto" w:sz="4" w:space="0"/>
              <w:right w:val="single" w:color="auto" w:sz="4" w:space="0"/>
            </w:tcBorders>
            <w:shd w:val="clear" w:color="auto" w:fill="auto"/>
            <w:vAlign w:val="center"/>
          </w:tcPr>
          <w:p w14:paraId="665473BB">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清水池</w:t>
            </w:r>
          </w:p>
        </w:tc>
        <w:tc>
          <w:tcPr>
            <w:tcW w:w="4801" w:type="dxa"/>
            <w:tcBorders>
              <w:top w:val="nil"/>
              <w:left w:val="nil"/>
              <w:bottom w:val="single" w:color="auto" w:sz="4" w:space="0"/>
              <w:right w:val="single" w:color="auto" w:sz="4" w:space="0"/>
            </w:tcBorders>
            <w:shd w:val="clear" w:color="auto" w:fill="auto"/>
            <w:vAlign w:val="center"/>
          </w:tcPr>
          <w:p w14:paraId="08FBC078">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材质：碳钢（箱体内三油两布）；</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厚度：5.7mm</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尺寸：1.5*1.5*2.0m</w:t>
            </w:r>
          </w:p>
        </w:tc>
        <w:tc>
          <w:tcPr>
            <w:tcW w:w="765" w:type="dxa"/>
            <w:tcBorders>
              <w:top w:val="nil"/>
              <w:left w:val="nil"/>
              <w:bottom w:val="single" w:color="auto" w:sz="4" w:space="0"/>
              <w:right w:val="single" w:color="auto" w:sz="4" w:space="0"/>
            </w:tcBorders>
            <w:shd w:val="clear" w:color="auto" w:fill="auto"/>
            <w:vAlign w:val="center"/>
          </w:tcPr>
          <w:p w14:paraId="513A448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1F4D029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座</w:t>
            </w:r>
          </w:p>
        </w:tc>
        <w:tc>
          <w:tcPr>
            <w:tcW w:w="1095" w:type="dxa"/>
            <w:tcBorders>
              <w:top w:val="nil"/>
              <w:left w:val="nil"/>
              <w:bottom w:val="single" w:color="auto" w:sz="4" w:space="0"/>
              <w:right w:val="single" w:color="auto" w:sz="4" w:space="0"/>
            </w:tcBorders>
            <w:shd w:val="clear" w:color="auto" w:fill="auto"/>
            <w:noWrap/>
            <w:vAlign w:val="center"/>
          </w:tcPr>
          <w:p w14:paraId="0BBCABCE">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189BA4DD">
        <w:tblPrEx>
          <w:tblCellMar>
            <w:top w:w="0" w:type="dxa"/>
            <w:left w:w="108" w:type="dxa"/>
            <w:bottom w:w="0" w:type="dxa"/>
            <w:right w:w="108" w:type="dxa"/>
          </w:tblCellMar>
        </w:tblPrEx>
        <w:trPr>
          <w:trHeight w:val="499"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139254EF">
            <w:pPr>
              <w:widowControl/>
              <w:spacing w:line="300" w:lineRule="exact"/>
              <w:jc w:val="center"/>
              <w:rPr>
                <w:rFonts w:hint="eastAsia" w:ascii="仿宋" w:hAnsi="仿宋" w:eastAsia="仿宋" w:cs="仿宋"/>
                <w:b/>
                <w:bCs/>
                <w:color w:val="000000"/>
                <w:kern w:val="0"/>
                <w:sz w:val="20"/>
                <w:szCs w:val="20"/>
                <w:highlight w:val="none"/>
              </w:rPr>
            </w:pPr>
          </w:p>
        </w:tc>
        <w:tc>
          <w:tcPr>
            <w:tcW w:w="1709" w:type="dxa"/>
            <w:tcBorders>
              <w:top w:val="nil"/>
              <w:left w:val="nil"/>
              <w:bottom w:val="single" w:color="auto" w:sz="4" w:space="0"/>
              <w:right w:val="single" w:color="auto" w:sz="4" w:space="0"/>
            </w:tcBorders>
            <w:shd w:val="clear" w:color="auto" w:fill="auto"/>
            <w:vAlign w:val="center"/>
          </w:tcPr>
          <w:p w14:paraId="1201DC89">
            <w:pPr>
              <w:widowControl/>
              <w:spacing w:line="300" w:lineRule="exact"/>
              <w:jc w:val="left"/>
              <w:rPr>
                <w:rFonts w:hint="eastAsia" w:ascii="仿宋" w:hAnsi="仿宋" w:eastAsia="仿宋" w:cs="仿宋"/>
                <w:b/>
                <w:bCs/>
                <w:color w:val="000000"/>
                <w:kern w:val="0"/>
                <w:sz w:val="20"/>
                <w:szCs w:val="20"/>
                <w:highlight w:val="none"/>
              </w:rPr>
            </w:pPr>
            <w:r>
              <w:rPr>
                <w:rFonts w:hint="eastAsia" w:ascii="仿宋" w:hAnsi="仿宋" w:eastAsia="仿宋" w:cs="仿宋"/>
                <w:b/>
                <w:bCs/>
                <w:color w:val="000000"/>
                <w:kern w:val="0"/>
                <w:sz w:val="20"/>
                <w:szCs w:val="20"/>
                <w:highlight w:val="none"/>
              </w:rPr>
              <w:t>污水处理设备</w:t>
            </w:r>
          </w:p>
        </w:tc>
        <w:tc>
          <w:tcPr>
            <w:tcW w:w="4801" w:type="dxa"/>
            <w:tcBorders>
              <w:top w:val="nil"/>
              <w:left w:val="nil"/>
              <w:bottom w:val="single" w:color="auto" w:sz="4" w:space="0"/>
              <w:right w:val="single" w:color="auto" w:sz="4" w:space="0"/>
            </w:tcBorders>
            <w:shd w:val="clear" w:color="auto" w:fill="auto"/>
            <w:vAlign w:val="center"/>
          </w:tcPr>
          <w:p w14:paraId="32678EA3">
            <w:pPr>
              <w:widowControl/>
              <w:spacing w:line="300" w:lineRule="exact"/>
              <w:jc w:val="left"/>
              <w:rPr>
                <w:rFonts w:hint="eastAsia" w:ascii="仿宋" w:hAnsi="仿宋" w:eastAsia="仿宋" w:cs="仿宋"/>
                <w:b/>
                <w:bCs/>
                <w:color w:val="000000"/>
                <w:kern w:val="0"/>
                <w:sz w:val="20"/>
                <w:szCs w:val="20"/>
                <w:highlight w:val="none"/>
              </w:rPr>
            </w:pPr>
            <w:r>
              <w:rPr>
                <w:rFonts w:hint="eastAsia" w:ascii="仿宋" w:hAnsi="仿宋" w:eastAsia="仿宋" w:cs="仿宋"/>
                <w:b/>
                <w:bCs/>
                <w:color w:val="000000"/>
                <w:kern w:val="0"/>
                <w:sz w:val="20"/>
                <w:szCs w:val="20"/>
                <w:highlight w:val="none"/>
              </w:rPr>
              <w:t>　</w:t>
            </w:r>
          </w:p>
        </w:tc>
        <w:tc>
          <w:tcPr>
            <w:tcW w:w="765" w:type="dxa"/>
            <w:tcBorders>
              <w:top w:val="nil"/>
              <w:left w:val="nil"/>
              <w:bottom w:val="single" w:color="auto" w:sz="4" w:space="0"/>
              <w:right w:val="single" w:color="auto" w:sz="4" w:space="0"/>
            </w:tcBorders>
            <w:shd w:val="clear" w:color="auto" w:fill="auto"/>
            <w:noWrap/>
            <w:vAlign w:val="center"/>
          </w:tcPr>
          <w:p w14:paraId="1A4A2FAA">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w:t>
            </w:r>
          </w:p>
        </w:tc>
        <w:tc>
          <w:tcPr>
            <w:tcW w:w="780" w:type="dxa"/>
            <w:tcBorders>
              <w:top w:val="nil"/>
              <w:left w:val="nil"/>
              <w:bottom w:val="single" w:color="auto" w:sz="4" w:space="0"/>
              <w:right w:val="single" w:color="auto" w:sz="4" w:space="0"/>
            </w:tcBorders>
            <w:shd w:val="clear" w:color="auto" w:fill="auto"/>
            <w:noWrap/>
            <w:vAlign w:val="center"/>
          </w:tcPr>
          <w:p w14:paraId="4CA21BC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w:t>
            </w:r>
          </w:p>
        </w:tc>
        <w:tc>
          <w:tcPr>
            <w:tcW w:w="1095" w:type="dxa"/>
            <w:tcBorders>
              <w:top w:val="nil"/>
              <w:left w:val="nil"/>
              <w:bottom w:val="single" w:color="auto" w:sz="4" w:space="0"/>
              <w:right w:val="single" w:color="auto" w:sz="4" w:space="0"/>
            </w:tcBorders>
            <w:shd w:val="clear" w:color="auto" w:fill="auto"/>
            <w:noWrap/>
            <w:vAlign w:val="center"/>
          </w:tcPr>
          <w:p w14:paraId="4E789902">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w:t>
            </w:r>
          </w:p>
        </w:tc>
      </w:tr>
      <w:tr w14:paraId="150EC28B">
        <w:tblPrEx>
          <w:tblCellMar>
            <w:top w:w="0" w:type="dxa"/>
            <w:left w:w="108" w:type="dxa"/>
            <w:bottom w:w="0" w:type="dxa"/>
            <w:right w:w="108" w:type="dxa"/>
          </w:tblCellMar>
        </w:tblPrEx>
        <w:trPr>
          <w:trHeight w:val="604"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6A882197">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1709" w:type="dxa"/>
            <w:tcBorders>
              <w:top w:val="nil"/>
              <w:left w:val="nil"/>
              <w:bottom w:val="single" w:color="auto" w:sz="4" w:space="0"/>
              <w:right w:val="single" w:color="auto" w:sz="4" w:space="0"/>
            </w:tcBorders>
            <w:shd w:val="clear" w:color="auto" w:fill="auto"/>
            <w:vAlign w:val="center"/>
          </w:tcPr>
          <w:p w14:paraId="56E5CECA">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人工格栅</w:t>
            </w:r>
          </w:p>
        </w:tc>
        <w:tc>
          <w:tcPr>
            <w:tcW w:w="4801" w:type="dxa"/>
            <w:tcBorders>
              <w:top w:val="nil"/>
              <w:left w:val="nil"/>
              <w:bottom w:val="single" w:color="auto" w:sz="4" w:space="0"/>
              <w:right w:val="single" w:color="auto" w:sz="4" w:space="0"/>
            </w:tcBorders>
            <w:shd w:val="clear" w:color="auto" w:fill="auto"/>
            <w:vAlign w:val="center"/>
          </w:tcPr>
          <w:p w14:paraId="1163E25F">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材质：不锈钢</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尺寸：0.5*0.5*0.4m</w:t>
            </w:r>
          </w:p>
        </w:tc>
        <w:tc>
          <w:tcPr>
            <w:tcW w:w="765" w:type="dxa"/>
            <w:tcBorders>
              <w:top w:val="nil"/>
              <w:left w:val="nil"/>
              <w:bottom w:val="single" w:color="auto" w:sz="4" w:space="0"/>
              <w:right w:val="single" w:color="auto" w:sz="4" w:space="0"/>
            </w:tcBorders>
            <w:shd w:val="clear" w:color="auto" w:fill="auto"/>
            <w:vAlign w:val="center"/>
          </w:tcPr>
          <w:p w14:paraId="5DF0236C">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02E351A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1A8D727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3D5BDC82">
        <w:tblPrEx>
          <w:tblCellMar>
            <w:top w:w="0" w:type="dxa"/>
            <w:left w:w="108" w:type="dxa"/>
            <w:bottom w:w="0" w:type="dxa"/>
            <w:right w:w="108" w:type="dxa"/>
          </w:tblCellMar>
        </w:tblPrEx>
        <w:trPr>
          <w:trHeight w:val="634"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01B5BF5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1709" w:type="dxa"/>
            <w:tcBorders>
              <w:top w:val="nil"/>
              <w:left w:val="nil"/>
              <w:bottom w:val="single" w:color="auto" w:sz="4" w:space="0"/>
              <w:right w:val="single" w:color="auto" w:sz="4" w:space="0"/>
            </w:tcBorders>
            <w:shd w:val="clear" w:color="auto" w:fill="auto"/>
            <w:vAlign w:val="center"/>
          </w:tcPr>
          <w:p w14:paraId="596EC49E">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潜水搅拌机</w:t>
            </w:r>
          </w:p>
        </w:tc>
        <w:tc>
          <w:tcPr>
            <w:tcW w:w="4801" w:type="dxa"/>
            <w:tcBorders>
              <w:top w:val="nil"/>
              <w:left w:val="nil"/>
              <w:bottom w:val="single" w:color="auto" w:sz="4" w:space="0"/>
              <w:right w:val="single" w:color="auto" w:sz="4" w:space="0"/>
            </w:tcBorders>
            <w:shd w:val="clear" w:color="auto" w:fill="auto"/>
            <w:vAlign w:val="center"/>
          </w:tcPr>
          <w:p w14:paraId="68812B0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叶轮：220mm，960r/min，0.37KW</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主机外壳不锈钢</w:t>
            </w:r>
          </w:p>
        </w:tc>
        <w:tc>
          <w:tcPr>
            <w:tcW w:w="765" w:type="dxa"/>
            <w:tcBorders>
              <w:top w:val="nil"/>
              <w:left w:val="nil"/>
              <w:bottom w:val="single" w:color="auto" w:sz="4" w:space="0"/>
              <w:right w:val="single" w:color="auto" w:sz="4" w:space="0"/>
            </w:tcBorders>
            <w:shd w:val="clear" w:color="auto" w:fill="auto"/>
            <w:vAlign w:val="center"/>
          </w:tcPr>
          <w:p w14:paraId="3A48981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700E631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277C0A37">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如克</w:t>
            </w:r>
          </w:p>
        </w:tc>
      </w:tr>
      <w:tr w14:paraId="673EC641">
        <w:tblPrEx>
          <w:tblCellMar>
            <w:top w:w="0" w:type="dxa"/>
            <w:left w:w="108" w:type="dxa"/>
            <w:bottom w:w="0" w:type="dxa"/>
            <w:right w:w="108" w:type="dxa"/>
          </w:tblCellMar>
        </w:tblPrEx>
        <w:trPr>
          <w:trHeight w:val="495"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36E1110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3</w:t>
            </w:r>
          </w:p>
        </w:tc>
        <w:tc>
          <w:tcPr>
            <w:tcW w:w="1709" w:type="dxa"/>
            <w:tcBorders>
              <w:top w:val="nil"/>
              <w:left w:val="nil"/>
              <w:bottom w:val="single" w:color="auto" w:sz="4" w:space="0"/>
              <w:right w:val="single" w:color="auto" w:sz="4" w:space="0"/>
            </w:tcBorders>
            <w:shd w:val="clear" w:color="auto" w:fill="auto"/>
            <w:vAlign w:val="center"/>
          </w:tcPr>
          <w:p w14:paraId="78D68D40">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调节池提升泵</w:t>
            </w:r>
          </w:p>
        </w:tc>
        <w:tc>
          <w:tcPr>
            <w:tcW w:w="4801" w:type="dxa"/>
            <w:tcBorders>
              <w:top w:val="nil"/>
              <w:left w:val="nil"/>
              <w:bottom w:val="single" w:color="auto" w:sz="4" w:space="0"/>
              <w:right w:val="single" w:color="auto" w:sz="4" w:space="0"/>
            </w:tcBorders>
            <w:shd w:val="clear" w:color="auto" w:fill="auto"/>
            <w:vAlign w:val="center"/>
          </w:tcPr>
          <w:p w14:paraId="2512E5DE">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10吨/h 10m 0.55kw</w:t>
            </w:r>
          </w:p>
        </w:tc>
        <w:tc>
          <w:tcPr>
            <w:tcW w:w="765" w:type="dxa"/>
            <w:tcBorders>
              <w:top w:val="nil"/>
              <w:left w:val="nil"/>
              <w:bottom w:val="single" w:color="auto" w:sz="4" w:space="0"/>
              <w:right w:val="single" w:color="auto" w:sz="4" w:space="0"/>
            </w:tcBorders>
            <w:shd w:val="clear" w:color="auto" w:fill="auto"/>
            <w:vAlign w:val="center"/>
          </w:tcPr>
          <w:p w14:paraId="04019C7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77475A4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7933925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南方</w:t>
            </w:r>
          </w:p>
        </w:tc>
      </w:tr>
      <w:tr w14:paraId="442048FF">
        <w:tblPrEx>
          <w:tblCellMar>
            <w:top w:w="0" w:type="dxa"/>
            <w:left w:w="108" w:type="dxa"/>
            <w:bottom w:w="0" w:type="dxa"/>
            <w:right w:w="108" w:type="dxa"/>
          </w:tblCellMar>
        </w:tblPrEx>
        <w:trPr>
          <w:trHeight w:val="48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119D12C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4</w:t>
            </w:r>
          </w:p>
        </w:tc>
        <w:tc>
          <w:tcPr>
            <w:tcW w:w="1709" w:type="dxa"/>
            <w:tcBorders>
              <w:top w:val="nil"/>
              <w:left w:val="nil"/>
              <w:bottom w:val="single" w:color="auto" w:sz="4" w:space="0"/>
              <w:right w:val="single" w:color="auto" w:sz="4" w:space="0"/>
            </w:tcBorders>
            <w:shd w:val="clear" w:color="auto" w:fill="auto"/>
            <w:vAlign w:val="center"/>
          </w:tcPr>
          <w:p w14:paraId="184ED237">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回流泵</w:t>
            </w:r>
          </w:p>
        </w:tc>
        <w:tc>
          <w:tcPr>
            <w:tcW w:w="4801" w:type="dxa"/>
            <w:tcBorders>
              <w:top w:val="nil"/>
              <w:left w:val="nil"/>
              <w:bottom w:val="single" w:color="auto" w:sz="4" w:space="0"/>
              <w:right w:val="single" w:color="auto" w:sz="4" w:space="0"/>
            </w:tcBorders>
            <w:shd w:val="clear" w:color="auto" w:fill="auto"/>
            <w:vAlign w:val="center"/>
          </w:tcPr>
          <w:p w14:paraId="1F7713A1">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10吨/h 10m 0.55kw</w:t>
            </w:r>
          </w:p>
        </w:tc>
        <w:tc>
          <w:tcPr>
            <w:tcW w:w="765" w:type="dxa"/>
            <w:tcBorders>
              <w:top w:val="nil"/>
              <w:left w:val="nil"/>
              <w:bottom w:val="single" w:color="auto" w:sz="4" w:space="0"/>
              <w:right w:val="single" w:color="auto" w:sz="4" w:space="0"/>
            </w:tcBorders>
            <w:shd w:val="clear" w:color="auto" w:fill="auto"/>
            <w:vAlign w:val="center"/>
          </w:tcPr>
          <w:p w14:paraId="4BE3BFE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1C58A6C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2D9381DE">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南方</w:t>
            </w:r>
          </w:p>
        </w:tc>
      </w:tr>
      <w:tr w14:paraId="256E7D74">
        <w:tblPrEx>
          <w:tblCellMar>
            <w:top w:w="0" w:type="dxa"/>
            <w:left w:w="108" w:type="dxa"/>
            <w:bottom w:w="0" w:type="dxa"/>
            <w:right w:w="108" w:type="dxa"/>
          </w:tblCellMar>
        </w:tblPrEx>
        <w:trPr>
          <w:trHeight w:val="36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496AC1C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5</w:t>
            </w:r>
          </w:p>
        </w:tc>
        <w:tc>
          <w:tcPr>
            <w:tcW w:w="1709" w:type="dxa"/>
            <w:tcBorders>
              <w:top w:val="nil"/>
              <w:left w:val="nil"/>
              <w:bottom w:val="single" w:color="auto" w:sz="4" w:space="0"/>
              <w:right w:val="single" w:color="auto" w:sz="4" w:space="0"/>
            </w:tcBorders>
            <w:shd w:val="clear" w:color="auto" w:fill="auto"/>
            <w:vAlign w:val="center"/>
          </w:tcPr>
          <w:p w14:paraId="67C3148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弹性填料</w:t>
            </w:r>
          </w:p>
        </w:tc>
        <w:tc>
          <w:tcPr>
            <w:tcW w:w="4801" w:type="dxa"/>
            <w:tcBorders>
              <w:top w:val="nil"/>
              <w:left w:val="nil"/>
              <w:bottom w:val="single" w:color="auto" w:sz="4" w:space="0"/>
              <w:right w:val="single" w:color="auto" w:sz="4" w:space="0"/>
            </w:tcBorders>
            <w:shd w:val="clear" w:color="auto" w:fill="auto"/>
            <w:vAlign w:val="center"/>
          </w:tcPr>
          <w:p w14:paraId="3FE946E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φ150*80 L=1500</w:t>
            </w:r>
          </w:p>
        </w:tc>
        <w:tc>
          <w:tcPr>
            <w:tcW w:w="765" w:type="dxa"/>
            <w:tcBorders>
              <w:top w:val="nil"/>
              <w:left w:val="nil"/>
              <w:bottom w:val="single" w:color="auto" w:sz="4" w:space="0"/>
              <w:right w:val="single" w:color="auto" w:sz="4" w:space="0"/>
            </w:tcBorders>
            <w:shd w:val="clear" w:color="auto" w:fill="auto"/>
            <w:vAlign w:val="center"/>
          </w:tcPr>
          <w:p w14:paraId="4F4DA8E8">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8</w:t>
            </w:r>
          </w:p>
        </w:tc>
        <w:tc>
          <w:tcPr>
            <w:tcW w:w="780" w:type="dxa"/>
            <w:tcBorders>
              <w:top w:val="nil"/>
              <w:left w:val="nil"/>
              <w:bottom w:val="single" w:color="auto" w:sz="4" w:space="0"/>
              <w:right w:val="single" w:color="auto" w:sz="4" w:space="0"/>
            </w:tcBorders>
            <w:shd w:val="clear" w:color="auto" w:fill="auto"/>
            <w:vAlign w:val="center"/>
          </w:tcPr>
          <w:p w14:paraId="26EC626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m³</w:t>
            </w:r>
          </w:p>
        </w:tc>
        <w:tc>
          <w:tcPr>
            <w:tcW w:w="1095" w:type="dxa"/>
            <w:tcBorders>
              <w:top w:val="nil"/>
              <w:left w:val="nil"/>
              <w:bottom w:val="single" w:color="auto" w:sz="4" w:space="0"/>
              <w:right w:val="single" w:color="auto" w:sz="4" w:space="0"/>
            </w:tcBorders>
            <w:shd w:val="clear" w:color="auto" w:fill="auto"/>
            <w:noWrap/>
            <w:vAlign w:val="center"/>
          </w:tcPr>
          <w:p w14:paraId="79C6CCF7">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3A73D961">
        <w:tblPrEx>
          <w:tblCellMar>
            <w:top w:w="0" w:type="dxa"/>
            <w:left w:w="108" w:type="dxa"/>
            <w:bottom w:w="0" w:type="dxa"/>
            <w:right w:w="108" w:type="dxa"/>
          </w:tblCellMar>
        </w:tblPrEx>
        <w:trPr>
          <w:trHeight w:val="36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372E564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6</w:t>
            </w:r>
          </w:p>
        </w:tc>
        <w:tc>
          <w:tcPr>
            <w:tcW w:w="1709" w:type="dxa"/>
            <w:tcBorders>
              <w:top w:val="nil"/>
              <w:left w:val="nil"/>
              <w:bottom w:val="single" w:color="auto" w:sz="4" w:space="0"/>
              <w:right w:val="single" w:color="auto" w:sz="4" w:space="0"/>
            </w:tcBorders>
            <w:shd w:val="clear" w:color="auto" w:fill="auto"/>
            <w:vAlign w:val="center"/>
          </w:tcPr>
          <w:p w14:paraId="2C3878AD">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微孔曝气器</w:t>
            </w:r>
          </w:p>
        </w:tc>
        <w:tc>
          <w:tcPr>
            <w:tcW w:w="4801" w:type="dxa"/>
            <w:tcBorders>
              <w:top w:val="nil"/>
              <w:left w:val="nil"/>
              <w:bottom w:val="single" w:color="auto" w:sz="4" w:space="0"/>
              <w:right w:val="single" w:color="auto" w:sz="4" w:space="0"/>
            </w:tcBorders>
            <w:shd w:val="clear" w:color="auto" w:fill="auto"/>
            <w:vAlign w:val="center"/>
          </w:tcPr>
          <w:p w14:paraId="5588EB4F">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Φ215mm；</w:t>
            </w:r>
          </w:p>
        </w:tc>
        <w:tc>
          <w:tcPr>
            <w:tcW w:w="765" w:type="dxa"/>
            <w:tcBorders>
              <w:top w:val="nil"/>
              <w:left w:val="nil"/>
              <w:bottom w:val="single" w:color="auto" w:sz="4" w:space="0"/>
              <w:right w:val="single" w:color="auto" w:sz="4" w:space="0"/>
            </w:tcBorders>
            <w:shd w:val="clear" w:color="auto" w:fill="auto"/>
            <w:vAlign w:val="center"/>
          </w:tcPr>
          <w:p w14:paraId="79AC24D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12</w:t>
            </w:r>
          </w:p>
        </w:tc>
        <w:tc>
          <w:tcPr>
            <w:tcW w:w="780" w:type="dxa"/>
            <w:tcBorders>
              <w:top w:val="nil"/>
              <w:left w:val="nil"/>
              <w:bottom w:val="single" w:color="auto" w:sz="4" w:space="0"/>
              <w:right w:val="single" w:color="auto" w:sz="4" w:space="0"/>
            </w:tcBorders>
            <w:shd w:val="clear" w:color="auto" w:fill="auto"/>
            <w:vAlign w:val="center"/>
          </w:tcPr>
          <w:p w14:paraId="5B79F62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33E5B7C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431267BB">
        <w:tblPrEx>
          <w:tblCellMar>
            <w:top w:w="0" w:type="dxa"/>
            <w:left w:w="108" w:type="dxa"/>
            <w:bottom w:w="0" w:type="dxa"/>
            <w:right w:w="108" w:type="dxa"/>
          </w:tblCellMar>
        </w:tblPrEx>
        <w:trPr>
          <w:trHeight w:val="36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5C5C46F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7</w:t>
            </w:r>
          </w:p>
        </w:tc>
        <w:tc>
          <w:tcPr>
            <w:tcW w:w="1709" w:type="dxa"/>
            <w:tcBorders>
              <w:top w:val="nil"/>
              <w:left w:val="nil"/>
              <w:bottom w:val="single" w:color="auto" w:sz="4" w:space="0"/>
              <w:right w:val="single" w:color="auto" w:sz="4" w:space="0"/>
            </w:tcBorders>
            <w:shd w:val="clear" w:color="auto" w:fill="auto"/>
            <w:vAlign w:val="center"/>
          </w:tcPr>
          <w:p w14:paraId="792ADFF7">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填料支架</w:t>
            </w:r>
          </w:p>
        </w:tc>
        <w:tc>
          <w:tcPr>
            <w:tcW w:w="4801" w:type="dxa"/>
            <w:tcBorders>
              <w:top w:val="nil"/>
              <w:left w:val="nil"/>
              <w:bottom w:val="single" w:color="auto" w:sz="4" w:space="0"/>
              <w:right w:val="single" w:color="auto" w:sz="4" w:space="0"/>
            </w:tcBorders>
            <w:shd w:val="clear" w:color="auto" w:fill="auto"/>
            <w:vAlign w:val="center"/>
          </w:tcPr>
          <w:p w14:paraId="7E273A6D">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不锈钢</w:t>
            </w:r>
          </w:p>
        </w:tc>
        <w:tc>
          <w:tcPr>
            <w:tcW w:w="765" w:type="dxa"/>
            <w:tcBorders>
              <w:top w:val="nil"/>
              <w:left w:val="nil"/>
              <w:bottom w:val="single" w:color="auto" w:sz="4" w:space="0"/>
              <w:right w:val="single" w:color="auto" w:sz="4" w:space="0"/>
            </w:tcBorders>
            <w:shd w:val="clear" w:color="auto" w:fill="auto"/>
            <w:vAlign w:val="center"/>
          </w:tcPr>
          <w:p w14:paraId="4A6E5C6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58D46FEA">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354A1C0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3F5CD6C6">
        <w:tblPrEx>
          <w:tblCellMar>
            <w:top w:w="0" w:type="dxa"/>
            <w:left w:w="108" w:type="dxa"/>
            <w:bottom w:w="0" w:type="dxa"/>
            <w:right w:w="108" w:type="dxa"/>
          </w:tblCellMar>
        </w:tblPrEx>
        <w:trPr>
          <w:trHeight w:val="919"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40E294B9">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8</w:t>
            </w:r>
          </w:p>
        </w:tc>
        <w:tc>
          <w:tcPr>
            <w:tcW w:w="1709" w:type="dxa"/>
            <w:tcBorders>
              <w:top w:val="nil"/>
              <w:left w:val="nil"/>
              <w:bottom w:val="single" w:color="auto" w:sz="4" w:space="0"/>
              <w:right w:val="single" w:color="auto" w:sz="4" w:space="0"/>
            </w:tcBorders>
            <w:shd w:val="clear" w:color="auto" w:fill="auto"/>
            <w:vAlign w:val="center"/>
          </w:tcPr>
          <w:p w14:paraId="750FC3A5">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鼓风机</w:t>
            </w:r>
          </w:p>
        </w:tc>
        <w:tc>
          <w:tcPr>
            <w:tcW w:w="4801" w:type="dxa"/>
            <w:tcBorders>
              <w:top w:val="nil"/>
              <w:left w:val="nil"/>
              <w:bottom w:val="single" w:color="auto" w:sz="4" w:space="0"/>
              <w:right w:val="single" w:color="auto" w:sz="4" w:space="0"/>
            </w:tcBorders>
            <w:shd w:val="clear" w:color="auto" w:fill="auto"/>
            <w:vAlign w:val="center"/>
          </w:tcPr>
          <w:p w14:paraId="5348189E">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DN65 气量：2m3/min</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风压：3m</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电机功率：2.2kW</w:t>
            </w:r>
          </w:p>
        </w:tc>
        <w:tc>
          <w:tcPr>
            <w:tcW w:w="765" w:type="dxa"/>
            <w:tcBorders>
              <w:top w:val="nil"/>
              <w:left w:val="nil"/>
              <w:bottom w:val="single" w:color="auto" w:sz="4" w:space="0"/>
              <w:right w:val="single" w:color="auto" w:sz="4" w:space="0"/>
            </w:tcBorders>
            <w:shd w:val="clear" w:color="auto" w:fill="auto"/>
            <w:vAlign w:val="center"/>
          </w:tcPr>
          <w:p w14:paraId="4C9D0E2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7CDEE1F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10FC4F5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三牛</w:t>
            </w:r>
          </w:p>
        </w:tc>
      </w:tr>
      <w:tr w14:paraId="7C8B9A45">
        <w:tblPrEx>
          <w:tblCellMar>
            <w:top w:w="0" w:type="dxa"/>
            <w:left w:w="108" w:type="dxa"/>
            <w:bottom w:w="0" w:type="dxa"/>
            <w:right w:w="108" w:type="dxa"/>
          </w:tblCellMar>
        </w:tblPrEx>
        <w:trPr>
          <w:trHeight w:val="42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780927A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9</w:t>
            </w:r>
          </w:p>
        </w:tc>
        <w:tc>
          <w:tcPr>
            <w:tcW w:w="1709" w:type="dxa"/>
            <w:tcBorders>
              <w:top w:val="nil"/>
              <w:left w:val="nil"/>
              <w:bottom w:val="single" w:color="auto" w:sz="4" w:space="0"/>
              <w:right w:val="single" w:color="auto" w:sz="4" w:space="0"/>
            </w:tcBorders>
            <w:shd w:val="clear" w:color="auto" w:fill="auto"/>
            <w:vAlign w:val="center"/>
          </w:tcPr>
          <w:p w14:paraId="4AEEB750">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分气缸</w:t>
            </w:r>
          </w:p>
        </w:tc>
        <w:tc>
          <w:tcPr>
            <w:tcW w:w="4801" w:type="dxa"/>
            <w:tcBorders>
              <w:top w:val="nil"/>
              <w:left w:val="nil"/>
              <w:bottom w:val="single" w:color="auto" w:sz="4" w:space="0"/>
              <w:right w:val="single" w:color="auto" w:sz="4" w:space="0"/>
            </w:tcBorders>
            <w:shd w:val="clear" w:color="auto" w:fill="auto"/>
            <w:vAlign w:val="center"/>
          </w:tcPr>
          <w:p w14:paraId="058F21DC">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规格：DN150 材质：碳钢</w:t>
            </w:r>
          </w:p>
        </w:tc>
        <w:tc>
          <w:tcPr>
            <w:tcW w:w="765" w:type="dxa"/>
            <w:tcBorders>
              <w:top w:val="nil"/>
              <w:left w:val="nil"/>
              <w:bottom w:val="single" w:color="auto" w:sz="4" w:space="0"/>
              <w:right w:val="single" w:color="auto" w:sz="4" w:space="0"/>
            </w:tcBorders>
            <w:shd w:val="clear" w:color="auto" w:fill="auto"/>
            <w:vAlign w:val="center"/>
          </w:tcPr>
          <w:p w14:paraId="790F05E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08F3AA0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59A633F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04F711CA">
        <w:tblPrEx>
          <w:tblCellMar>
            <w:top w:w="0" w:type="dxa"/>
            <w:left w:w="108" w:type="dxa"/>
            <w:bottom w:w="0" w:type="dxa"/>
            <w:right w:w="108" w:type="dxa"/>
          </w:tblCellMar>
        </w:tblPrEx>
        <w:trPr>
          <w:trHeight w:val="42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3A374AC9">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10</w:t>
            </w:r>
          </w:p>
        </w:tc>
        <w:tc>
          <w:tcPr>
            <w:tcW w:w="1709" w:type="dxa"/>
            <w:tcBorders>
              <w:top w:val="nil"/>
              <w:left w:val="nil"/>
              <w:bottom w:val="single" w:color="auto" w:sz="4" w:space="0"/>
              <w:right w:val="single" w:color="auto" w:sz="4" w:space="0"/>
            </w:tcBorders>
            <w:shd w:val="clear" w:color="auto" w:fill="auto"/>
            <w:vAlign w:val="center"/>
          </w:tcPr>
          <w:p w14:paraId="13C0E04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气体流量计</w:t>
            </w:r>
          </w:p>
        </w:tc>
        <w:tc>
          <w:tcPr>
            <w:tcW w:w="4801" w:type="dxa"/>
            <w:tcBorders>
              <w:top w:val="nil"/>
              <w:left w:val="nil"/>
              <w:bottom w:val="single" w:color="auto" w:sz="4" w:space="0"/>
              <w:right w:val="single" w:color="auto" w:sz="4" w:space="0"/>
            </w:tcBorders>
            <w:shd w:val="clear" w:color="auto" w:fill="auto"/>
            <w:vAlign w:val="center"/>
          </w:tcPr>
          <w:p w14:paraId="2C73EFD4">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DN50</w:t>
            </w:r>
          </w:p>
        </w:tc>
        <w:tc>
          <w:tcPr>
            <w:tcW w:w="765" w:type="dxa"/>
            <w:tcBorders>
              <w:top w:val="nil"/>
              <w:left w:val="nil"/>
              <w:bottom w:val="single" w:color="auto" w:sz="4" w:space="0"/>
              <w:right w:val="single" w:color="auto" w:sz="4" w:space="0"/>
            </w:tcBorders>
            <w:shd w:val="clear" w:color="auto" w:fill="auto"/>
            <w:vAlign w:val="center"/>
          </w:tcPr>
          <w:p w14:paraId="2DB0943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4BE4352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67C7D847">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50CB17B3">
        <w:tblPrEx>
          <w:tblCellMar>
            <w:top w:w="0" w:type="dxa"/>
            <w:left w:w="108" w:type="dxa"/>
            <w:bottom w:w="0" w:type="dxa"/>
            <w:right w:w="108" w:type="dxa"/>
          </w:tblCellMar>
        </w:tblPrEx>
        <w:trPr>
          <w:trHeight w:val="42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62F4E02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11</w:t>
            </w:r>
          </w:p>
        </w:tc>
        <w:tc>
          <w:tcPr>
            <w:tcW w:w="1709" w:type="dxa"/>
            <w:tcBorders>
              <w:top w:val="nil"/>
              <w:left w:val="nil"/>
              <w:bottom w:val="single" w:color="auto" w:sz="4" w:space="0"/>
              <w:right w:val="single" w:color="auto" w:sz="4" w:space="0"/>
            </w:tcBorders>
            <w:shd w:val="clear" w:color="auto" w:fill="auto"/>
            <w:vAlign w:val="center"/>
          </w:tcPr>
          <w:p w14:paraId="63AFE39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曝气管</w:t>
            </w:r>
          </w:p>
        </w:tc>
        <w:tc>
          <w:tcPr>
            <w:tcW w:w="4801" w:type="dxa"/>
            <w:tcBorders>
              <w:top w:val="nil"/>
              <w:left w:val="nil"/>
              <w:bottom w:val="single" w:color="auto" w:sz="4" w:space="0"/>
              <w:right w:val="single" w:color="auto" w:sz="4" w:space="0"/>
            </w:tcBorders>
            <w:shd w:val="clear" w:color="auto" w:fill="auto"/>
            <w:vAlign w:val="center"/>
          </w:tcPr>
          <w:p w14:paraId="0B3EF07C">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DN50 U-PVC</w:t>
            </w:r>
          </w:p>
        </w:tc>
        <w:tc>
          <w:tcPr>
            <w:tcW w:w="765" w:type="dxa"/>
            <w:tcBorders>
              <w:top w:val="nil"/>
              <w:left w:val="nil"/>
              <w:bottom w:val="single" w:color="auto" w:sz="4" w:space="0"/>
              <w:right w:val="single" w:color="auto" w:sz="4" w:space="0"/>
            </w:tcBorders>
            <w:shd w:val="clear" w:color="auto" w:fill="auto"/>
            <w:vAlign w:val="center"/>
          </w:tcPr>
          <w:p w14:paraId="35D1C20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5C7FE45E">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2197866A">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华亚</w:t>
            </w:r>
          </w:p>
        </w:tc>
      </w:tr>
      <w:tr w14:paraId="436F8095">
        <w:tblPrEx>
          <w:tblCellMar>
            <w:top w:w="0" w:type="dxa"/>
            <w:left w:w="108" w:type="dxa"/>
            <w:bottom w:w="0" w:type="dxa"/>
            <w:right w:w="108" w:type="dxa"/>
          </w:tblCellMar>
        </w:tblPrEx>
        <w:trPr>
          <w:trHeight w:val="582"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09052068">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12</w:t>
            </w:r>
          </w:p>
        </w:tc>
        <w:tc>
          <w:tcPr>
            <w:tcW w:w="1709" w:type="dxa"/>
            <w:tcBorders>
              <w:top w:val="nil"/>
              <w:left w:val="nil"/>
              <w:bottom w:val="single" w:color="auto" w:sz="4" w:space="0"/>
              <w:right w:val="single" w:color="auto" w:sz="4" w:space="0"/>
            </w:tcBorders>
            <w:shd w:val="clear" w:color="auto" w:fill="auto"/>
            <w:vAlign w:val="center"/>
          </w:tcPr>
          <w:p w14:paraId="2F317D2B">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MBR膜</w:t>
            </w:r>
          </w:p>
        </w:tc>
        <w:tc>
          <w:tcPr>
            <w:tcW w:w="4801" w:type="dxa"/>
            <w:tcBorders>
              <w:top w:val="nil"/>
              <w:left w:val="nil"/>
              <w:bottom w:val="single" w:color="auto" w:sz="4" w:space="0"/>
              <w:right w:val="single" w:color="auto" w:sz="4" w:space="0"/>
            </w:tcBorders>
            <w:shd w:val="clear" w:color="auto" w:fill="auto"/>
            <w:vAlign w:val="center"/>
          </w:tcPr>
          <w:p w14:paraId="77186566">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xml:space="preserve">形式：板式  sinap100-140 </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处理量：60吨/d</w:t>
            </w:r>
          </w:p>
        </w:tc>
        <w:tc>
          <w:tcPr>
            <w:tcW w:w="765" w:type="dxa"/>
            <w:tcBorders>
              <w:top w:val="nil"/>
              <w:left w:val="nil"/>
              <w:bottom w:val="single" w:color="auto" w:sz="4" w:space="0"/>
              <w:right w:val="single" w:color="auto" w:sz="4" w:space="0"/>
            </w:tcBorders>
            <w:shd w:val="clear" w:color="auto" w:fill="auto"/>
            <w:vAlign w:val="center"/>
          </w:tcPr>
          <w:p w14:paraId="0819CEA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46F3D12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组</w:t>
            </w:r>
          </w:p>
        </w:tc>
        <w:tc>
          <w:tcPr>
            <w:tcW w:w="1095" w:type="dxa"/>
            <w:tcBorders>
              <w:top w:val="nil"/>
              <w:left w:val="nil"/>
              <w:bottom w:val="single" w:color="auto" w:sz="4" w:space="0"/>
              <w:right w:val="single" w:color="auto" w:sz="4" w:space="0"/>
            </w:tcBorders>
            <w:shd w:val="clear" w:color="auto" w:fill="auto"/>
            <w:noWrap/>
            <w:vAlign w:val="center"/>
          </w:tcPr>
          <w:p w14:paraId="1A11E57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斯纳普</w:t>
            </w:r>
          </w:p>
        </w:tc>
      </w:tr>
      <w:tr w14:paraId="4548B98D">
        <w:tblPrEx>
          <w:tblCellMar>
            <w:top w:w="0" w:type="dxa"/>
            <w:left w:w="108" w:type="dxa"/>
            <w:bottom w:w="0" w:type="dxa"/>
            <w:right w:w="108" w:type="dxa"/>
          </w:tblCellMar>
        </w:tblPrEx>
        <w:trPr>
          <w:trHeight w:val="60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6F00801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13</w:t>
            </w:r>
          </w:p>
        </w:tc>
        <w:tc>
          <w:tcPr>
            <w:tcW w:w="1709" w:type="dxa"/>
            <w:tcBorders>
              <w:top w:val="nil"/>
              <w:left w:val="nil"/>
              <w:bottom w:val="single" w:color="auto" w:sz="4" w:space="0"/>
              <w:right w:val="single" w:color="auto" w:sz="4" w:space="0"/>
            </w:tcBorders>
            <w:shd w:val="clear" w:color="auto" w:fill="auto"/>
            <w:vAlign w:val="center"/>
          </w:tcPr>
          <w:p w14:paraId="74F351BF">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膜曝气箱</w:t>
            </w:r>
          </w:p>
        </w:tc>
        <w:tc>
          <w:tcPr>
            <w:tcW w:w="4801" w:type="dxa"/>
            <w:tcBorders>
              <w:top w:val="nil"/>
              <w:left w:val="nil"/>
              <w:bottom w:val="single" w:color="auto" w:sz="4" w:space="0"/>
              <w:right w:val="single" w:color="auto" w:sz="4" w:space="0"/>
            </w:tcBorders>
            <w:shd w:val="clear" w:color="auto" w:fill="auto"/>
            <w:vAlign w:val="center"/>
          </w:tcPr>
          <w:p w14:paraId="5B519285">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材质：不锈钢 配合sinap100-140使用</w:t>
            </w:r>
          </w:p>
        </w:tc>
        <w:tc>
          <w:tcPr>
            <w:tcW w:w="765" w:type="dxa"/>
            <w:tcBorders>
              <w:top w:val="nil"/>
              <w:left w:val="nil"/>
              <w:bottom w:val="single" w:color="auto" w:sz="4" w:space="0"/>
              <w:right w:val="single" w:color="auto" w:sz="4" w:space="0"/>
            </w:tcBorders>
            <w:shd w:val="clear" w:color="auto" w:fill="auto"/>
            <w:vAlign w:val="center"/>
          </w:tcPr>
          <w:p w14:paraId="47A76F5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4F2B7618">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组</w:t>
            </w:r>
          </w:p>
        </w:tc>
        <w:tc>
          <w:tcPr>
            <w:tcW w:w="1095" w:type="dxa"/>
            <w:tcBorders>
              <w:top w:val="nil"/>
              <w:left w:val="nil"/>
              <w:bottom w:val="single" w:color="auto" w:sz="4" w:space="0"/>
              <w:right w:val="single" w:color="auto" w:sz="4" w:space="0"/>
            </w:tcBorders>
            <w:shd w:val="clear" w:color="auto" w:fill="auto"/>
            <w:noWrap/>
            <w:vAlign w:val="center"/>
          </w:tcPr>
          <w:p w14:paraId="1DE21EA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斯纳普</w:t>
            </w:r>
          </w:p>
        </w:tc>
      </w:tr>
      <w:tr w14:paraId="20843899">
        <w:tblPrEx>
          <w:tblCellMar>
            <w:top w:w="0" w:type="dxa"/>
            <w:left w:w="108" w:type="dxa"/>
            <w:bottom w:w="0" w:type="dxa"/>
            <w:right w:w="108" w:type="dxa"/>
          </w:tblCellMar>
        </w:tblPrEx>
        <w:trPr>
          <w:trHeight w:val="42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6C75A66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14</w:t>
            </w:r>
          </w:p>
        </w:tc>
        <w:tc>
          <w:tcPr>
            <w:tcW w:w="1709" w:type="dxa"/>
            <w:tcBorders>
              <w:top w:val="nil"/>
              <w:left w:val="nil"/>
              <w:bottom w:val="single" w:color="auto" w:sz="4" w:space="0"/>
              <w:right w:val="single" w:color="auto" w:sz="4" w:space="0"/>
            </w:tcBorders>
            <w:shd w:val="clear" w:color="auto" w:fill="auto"/>
            <w:vAlign w:val="center"/>
          </w:tcPr>
          <w:p w14:paraId="2F37E973">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自吸泵</w:t>
            </w:r>
          </w:p>
        </w:tc>
        <w:tc>
          <w:tcPr>
            <w:tcW w:w="4801" w:type="dxa"/>
            <w:tcBorders>
              <w:top w:val="nil"/>
              <w:left w:val="nil"/>
              <w:bottom w:val="single" w:color="auto" w:sz="4" w:space="0"/>
              <w:right w:val="single" w:color="auto" w:sz="4" w:space="0"/>
            </w:tcBorders>
            <w:shd w:val="clear" w:color="auto" w:fill="auto"/>
            <w:vAlign w:val="center"/>
          </w:tcPr>
          <w:p w14:paraId="19D2F163">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110L/min，扬程9m，吸程3m</w:t>
            </w:r>
          </w:p>
        </w:tc>
        <w:tc>
          <w:tcPr>
            <w:tcW w:w="765" w:type="dxa"/>
            <w:tcBorders>
              <w:top w:val="nil"/>
              <w:left w:val="nil"/>
              <w:bottom w:val="single" w:color="auto" w:sz="4" w:space="0"/>
              <w:right w:val="single" w:color="auto" w:sz="4" w:space="0"/>
            </w:tcBorders>
            <w:shd w:val="clear" w:color="auto" w:fill="auto"/>
            <w:vAlign w:val="center"/>
          </w:tcPr>
          <w:p w14:paraId="682B010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14A7D32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5CB6BFA8">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威乐</w:t>
            </w:r>
          </w:p>
        </w:tc>
      </w:tr>
      <w:tr w14:paraId="070775B5">
        <w:tblPrEx>
          <w:tblCellMar>
            <w:top w:w="0" w:type="dxa"/>
            <w:left w:w="108" w:type="dxa"/>
            <w:bottom w:w="0" w:type="dxa"/>
            <w:right w:w="108" w:type="dxa"/>
          </w:tblCellMar>
        </w:tblPrEx>
        <w:trPr>
          <w:trHeight w:val="66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008DD834">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15</w:t>
            </w:r>
          </w:p>
        </w:tc>
        <w:tc>
          <w:tcPr>
            <w:tcW w:w="1709" w:type="dxa"/>
            <w:tcBorders>
              <w:top w:val="nil"/>
              <w:left w:val="nil"/>
              <w:bottom w:val="single" w:color="auto" w:sz="4" w:space="0"/>
              <w:right w:val="single" w:color="auto" w:sz="4" w:space="0"/>
            </w:tcBorders>
            <w:shd w:val="clear" w:color="auto" w:fill="auto"/>
            <w:vAlign w:val="center"/>
          </w:tcPr>
          <w:p w14:paraId="7FDDD5E0">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排水泵</w:t>
            </w:r>
          </w:p>
        </w:tc>
        <w:tc>
          <w:tcPr>
            <w:tcW w:w="4801" w:type="dxa"/>
            <w:tcBorders>
              <w:top w:val="nil"/>
              <w:left w:val="nil"/>
              <w:bottom w:val="single" w:color="auto" w:sz="4" w:space="0"/>
              <w:right w:val="single" w:color="auto" w:sz="4" w:space="0"/>
            </w:tcBorders>
            <w:shd w:val="clear" w:color="auto" w:fill="auto"/>
            <w:vAlign w:val="center"/>
          </w:tcPr>
          <w:p w14:paraId="7A53498B">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8吨/h 15m 1.1kw</w:t>
            </w:r>
          </w:p>
        </w:tc>
        <w:tc>
          <w:tcPr>
            <w:tcW w:w="765" w:type="dxa"/>
            <w:tcBorders>
              <w:top w:val="nil"/>
              <w:left w:val="nil"/>
              <w:bottom w:val="single" w:color="auto" w:sz="4" w:space="0"/>
              <w:right w:val="single" w:color="auto" w:sz="4" w:space="0"/>
            </w:tcBorders>
            <w:shd w:val="clear" w:color="auto" w:fill="auto"/>
            <w:vAlign w:val="center"/>
          </w:tcPr>
          <w:p w14:paraId="2E3079D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5E988F8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09AE70E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南方</w:t>
            </w:r>
          </w:p>
        </w:tc>
      </w:tr>
      <w:tr w14:paraId="69CF93BD">
        <w:tblPrEx>
          <w:tblCellMar>
            <w:top w:w="0" w:type="dxa"/>
            <w:left w:w="108" w:type="dxa"/>
            <w:bottom w:w="0" w:type="dxa"/>
            <w:right w:w="108" w:type="dxa"/>
          </w:tblCellMar>
        </w:tblPrEx>
        <w:trPr>
          <w:trHeight w:val="42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20C3F38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16</w:t>
            </w:r>
          </w:p>
        </w:tc>
        <w:tc>
          <w:tcPr>
            <w:tcW w:w="1709" w:type="dxa"/>
            <w:tcBorders>
              <w:top w:val="nil"/>
              <w:left w:val="nil"/>
              <w:bottom w:val="single" w:color="auto" w:sz="4" w:space="0"/>
              <w:right w:val="single" w:color="auto" w:sz="4" w:space="0"/>
            </w:tcBorders>
            <w:shd w:val="clear" w:color="auto" w:fill="auto"/>
            <w:vAlign w:val="center"/>
          </w:tcPr>
          <w:p w14:paraId="49114282">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膜清洗加药装置</w:t>
            </w:r>
          </w:p>
        </w:tc>
        <w:tc>
          <w:tcPr>
            <w:tcW w:w="4801" w:type="dxa"/>
            <w:tcBorders>
              <w:top w:val="nil"/>
              <w:left w:val="nil"/>
              <w:bottom w:val="single" w:color="auto" w:sz="4" w:space="0"/>
              <w:right w:val="single" w:color="auto" w:sz="4" w:space="0"/>
            </w:tcBorders>
            <w:shd w:val="clear" w:color="auto" w:fill="auto"/>
            <w:vAlign w:val="center"/>
          </w:tcPr>
          <w:p w14:paraId="7EBE6CCF">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xml:space="preserve">Q=20L/min 容积：200L </w:t>
            </w:r>
          </w:p>
        </w:tc>
        <w:tc>
          <w:tcPr>
            <w:tcW w:w="765" w:type="dxa"/>
            <w:tcBorders>
              <w:top w:val="nil"/>
              <w:left w:val="nil"/>
              <w:bottom w:val="single" w:color="auto" w:sz="4" w:space="0"/>
              <w:right w:val="single" w:color="auto" w:sz="4" w:space="0"/>
            </w:tcBorders>
            <w:shd w:val="clear" w:color="auto" w:fill="auto"/>
            <w:vAlign w:val="center"/>
          </w:tcPr>
          <w:p w14:paraId="17E9DBE2">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10CD56C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48E0D28D">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澳海娜</w:t>
            </w:r>
          </w:p>
        </w:tc>
      </w:tr>
      <w:tr w14:paraId="6C6658FD">
        <w:tblPrEx>
          <w:tblCellMar>
            <w:top w:w="0" w:type="dxa"/>
            <w:left w:w="108" w:type="dxa"/>
            <w:bottom w:w="0" w:type="dxa"/>
            <w:right w:w="108" w:type="dxa"/>
          </w:tblCellMar>
        </w:tblPrEx>
        <w:trPr>
          <w:trHeight w:val="42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404AB968">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17</w:t>
            </w:r>
          </w:p>
        </w:tc>
        <w:tc>
          <w:tcPr>
            <w:tcW w:w="1709" w:type="dxa"/>
            <w:tcBorders>
              <w:top w:val="nil"/>
              <w:left w:val="nil"/>
              <w:bottom w:val="single" w:color="auto" w:sz="4" w:space="0"/>
              <w:right w:val="single" w:color="auto" w:sz="4" w:space="0"/>
            </w:tcBorders>
            <w:shd w:val="clear" w:color="auto" w:fill="auto"/>
            <w:vAlign w:val="center"/>
          </w:tcPr>
          <w:p w14:paraId="52751F75">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浮子液体流量计</w:t>
            </w:r>
          </w:p>
        </w:tc>
        <w:tc>
          <w:tcPr>
            <w:tcW w:w="4801" w:type="dxa"/>
            <w:tcBorders>
              <w:top w:val="nil"/>
              <w:left w:val="nil"/>
              <w:bottom w:val="single" w:color="auto" w:sz="4" w:space="0"/>
              <w:right w:val="single" w:color="auto" w:sz="4" w:space="0"/>
            </w:tcBorders>
            <w:shd w:val="clear" w:color="auto" w:fill="auto"/>
            <w:vAlign w:val="center"/>
          </w:tcPr>
          <w:p w14:paraId="76B34324">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DN40 0-6吨</w:t>
            </w:r>
          </w:p>
        </w:tc>
        <w:tc>
          <w:tcPr>
            <w:tcW w:w="765" w:type="dxa"/>
            <w:tcBorders>
              <w:top w:val="nil"/>
              <w:left w:val="nil"/>
              <w:bottom w:val="single" w:color="auto" w:sz="4" w:space="0"/>
              <w:right w:val="single" w:color="auto" w:sz="4" w:space="0"/>
            </w:tcBorders>
            <w:shd w:val="clear" w:color="auto" w:fill="auto"/>
            <w:vAlign w:val="center"/>
          </w:tcPr>
          <w:p w14:paraId="297C987B">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7B4EE4C9">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5CCBF4C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水发</w:t>
            </w:r>
          </w:p>
        </w:tc>
      </w:tr>
      <w:tr w14:paraId="3E774B9E">
        <w:tblPrEx>
          <w:tblCellMar>
            <w:top w:w="0" w:type="dxa"/>
            <w:left w:w="108" w:type="dxa"/>
            <w:bottom w:w="0" w:type="dxa"/>
            <w:right w:w="108" w:type="dxa"/>
          </w:tblCellMar>
        </w:tblPrEx>
        <w:trPr>
          <w:trHeight w:val="960"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24DB06CA">
            <w:pPr>
              <w:widowControl/>
              <w:spacing w:line="300" w:lineRule="exact"/>
              <w:jc w:val="center"/>
              <w:rPr>
                <w:rFonts w:hint="eastAsia" w:ascii="仿宋" w:hAnsi="仿宋" w:eastAsia="仿宋" w:cs="仿宋"/>
                <w:color w:val="000000"/>
                <w:kern w:val="0"/>
                <w:sz w:val="20"/>
                <w:szCs w:val="20"/>
                <w:highlight w:val="none"/>
                <w:lang w:eastAsia="zh-CN"/>
              </w:rPr>
            </w:pPr>
            <w:r>
              <w:rPr>
                <w:rFonts w:hint="eastAsia" w:ascii="仿宋" w:hAnsi="仿宋" w:eastAsia="仿宋" w:cs="仿宋"/>
                <w:color w:val="000000"/>
                <w:kern w:val="0"/>
                <w:sz w:val="20"/>
                <w:szCs w:val="20"/>
                <w:highlight w:val="none"/>
              </w:rPr>
              <w:t>1</w:t>
            </w:r>
            <w:r>
              <w:rPr>
                <w:rFonts w:hint="eastAsia" w:ascii="仿宋" w:hAnsi="仿宋" w:eastAsia="仿宋" w:cs="仿宋"/>
                <w:color w:val="000000"/>
                <w:kern w:val="0"/>
                <w:sz w:val="20"/>
                <w:szCs w:val="20"/>
                <w:highlight w:val="none"/>
                <w:lang w:val="en-US" w:eastAsia="zh-CN"/>
              </w:rPr>
              <w:t>8</w:t>
            </w:r>
          </w:p>
        </w:tc>
        <w:tc>
          <w:tcPr>
            <w:tcW w:w="1709" w:type="dxa"/>
            <w:tcBorders>
              <w:top w:val="nil"/>
              <w:left w:val="nil"/>
              <w:bottom w:val="single" w:color="auto" w:sz="4" w:space="0"/>
              <w:right w:val="single" w:color="auto" w:sz="4" w:space="0"/>
            </w:tcBorders>
            <w:shd w:val="clear" w:color="auto" w:fill="auto"/>
            <w:vAlign w:val="center"/>
          </w:tcPr>
          <w:p w14:paraId="4D57F478">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PLC控制柜</w:t>
            </w:r>
          </w:p>
        </w:tc>
        <w:tc>
          <w:tcPr>
            <w:tcW w:w="4801" w:type="dxa"/>
            <w:tcBorders>
              <w:top w:val="nil"/>
              <w:left w:val="nil"/>
              <w:bottom w:val="single" w:color="auto" w:sz="4" w:space="0"/>
              <w:right w:val="single" w:color="auto" w:sz="4" w:space="0"/>
            </w:tcBorders>
            <w:shd w:val="clear" w:color="auto" w:fill="auto"/>
            <w:vAlign w:val="center"/>
          </w:tcPr>
          <w:p w14:paraId="28E3E333">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 xml:space="preserve">元器件：施耐德 </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 xml:space="preserve">PLC:西门子 </w:t>
            </w:r>
            <w:r>
              <w:rPr>
                <w:rFonts w:hint="eastAsia" w:ascii="仿宋" w:hAnsi="仿宋" w:eastAsia="仿宋" w:cs="仿宋"/>
                <w:color w:val="000000"/>
                <w:kern w:val="0"/>
                <w:sz w:val="20"/>
                <w:szCs w:val="20"/>
                <w:highlight w:val="none"/>
              </w:rPr>
              <w:br w:type="textWrapping"/>
            </w:r>
            <w:r>
              <w:rPr>
                <w:rFonts w:hint="eastAsia" w:ascii="仿宋" w:hAnsi="仿宋" w:eastAsia="仿宋" w:cs="仿宋"/>
                <w:color w:val="000000"/>
                <w:kern w:val="0"/>
                <w:sz w:val="20"/>
                <w:szCs w:val="20"/>
                <w:highlight w:val="none"/>
              </w:rPr>
              <w:t>触摸屏：昆仑通泰</w:t>
            </w:r>
          </w:p>
        </w:tc>
        <w:tc>
          <w:tcPr>
            <w:tcW w:w="765" w:type="dxa"/>
            <w:tcBorders>
              <w:top w:val="nil"/>
              <w:left w:val="nil"/>
              <w:bottom w:val="single" w:color="auto" w:sz="4" w:space="0"/>
              <w:right w:val="single" w:color="auto" w:sz="4" w:space="0"/>
            </w:tcBorders>
            <w:shd w:val="clear" w:color="auto" w:fill="auto"/>
            <w:vAlign w:val="center"/>
          </w:tcPr>
          <w:p w14:paraId="2BEFC5A0">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756961F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5E7BFC7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华威金信</w:t>
            </w:r>
          </w:p>
        </w:tc>
      </w:tr>
      <w:tr w14:paraId="6B2A7775">
        <w:tblPrEx>
          <w:tblCellMar>
            <w:top w:w="0" w:type="dxa"/>
            <w:left w:w="108" w:type="dxa"/>
            <w:bottom w:w="0" w:type="dxa"/>
            <w:right w:w="108" w:type="dxa"/>
          </w:tblCellMar>
        </w:tblPrEx>
        <w:trPr>
          <w:trHeight w:val="462"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6A5C1D52">
            <w:pPr>
              <w:widowControl/>
              <w:spacing w:line="300" w:lineRule="exact"/>
              <w:jc w:val="center"/>
              <w:rPr>
                <w:rFonts w:hint="eastAsia" w:ascii="仿宋" w:hAnsi="仿宋" w:eastAsia="仿宋" w:cs="仿宋"/>
                <w:color w:val="000000"/>
                <w:kern w:val="0"/>
                <w:sz w:val="20"/>
                <w:szCs w:val="20"/>
                <w:highlight w:val="none"/>
                <w:lang w:val="en-US" w:eastAsia="zh-CN"/>
              </w:rPr>
            </w:pPr>
            <w:r>
              <w:rPr>
                <w:rFonts w:hint="eastAsia" w:ascii="仿宋" w:hAnsi="仿宋" w:eastAsia="仿宋" w:cs="仿宋"/>
                <w:color w:val="000000"/>
                <w:kern w:val="0"/>
                <w:sz w:val="20"/>
                <w:szCs w:val="20"/>
                <w:highlight w:val="none"/>
                <w:lang w:val="en-US" w:eastAsia="zh-CN"/>
              </w:rPr>
              <w:t>19</w:t>
            </w:r>
          </w:p>
        </w:tc>
        <w:tc>
          <w:tcPr>
            <w:tcW w:w="1709" w:type="dxa"/>
            <w:tcBorders>
              <w:top w:val="nil"/>
              <w:left w:val="nil"/>
              <w:bottom w:val="single" w:color="auto" w:sz="4" w:space="0"/>
              <w:right w:val="single" w:color="auto" w:sz="4" w:space="0"/>
            </w:tcBorders>
            <w:shd w:val="clear" w:color="auto" w:fill="auto"/>
            <w:vAlign w:val="center"/>
          </w:tcPr>
          <w:p w14:paraId="49374FE5">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正压表</w:t>
            </w:r>
          </w:p>
        </w:tc>
        <w:tc>
          <w:tcPr>
            <w:tcW w:w="4801" w:type="dxa"/>
            <w:tcBorders>
              <w:top w:val="nil"/>
              <w:left w:val="nil"/>
              <w:bottom w:val="single" w:color="auto" w:sz="4" w:space="0"/>
              <w:right w:val="single" w:color="auto" w:sz="4" w:space="0"/>
            </w:tcBorders>
            <w:shd w:val="clear" w:color="auto" w:fill="auto"/>
            <w:vAlign w:val="center"/>
          </w:tcPr>
          <w:p w14:paraId="47AB37A7">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0-0.25</w:t>
            </w:r>
          </w:p>
        </w:tc>
        <w:tc>
          <w:tcPr>
            <w:tcW w:w="765" w:type="dxa"/>
            <w:tcBorders>
              <w:top w:val="nil"/>
              <w:left w:val="nil"/>
              <w:bottom w:val="single" w:color="auto" w:sz="4" w:space="0"/>
              <w:right w:val="single" w:color="auto" w:sz="4" w:space="0"/>
            </w:tcBorders>
            <w:shd w:val="clear" w:color="auto" w:fill="auto"/>
            <w:vAlign w:val="center"/>
          </w:tcPr>
          <w:p w14:paraId="22E87AEE">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2128E08C">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1257DF32">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红旗</w:t>
            </w:r>
          </w:p>
        </w:tc>
      </w:tr>
      <w:tr w14:paraId="171192DC">
        <w:tblPrEx>
          <w:tblCellMar>
            <w:top w:w="0" w:type="dxa"/>
            <w:left w:w="108" w:type="dxa"/>
            <w:bottom w:w="0" w:type="dxa"/>
            <w:right w:w="108" w:type="dxa"/>
          </w:tblCellMar>
        </w:tblPrEx>
        <w:trPr>
          <w:trHeight w:val="462"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0C80B315">
            <w:pPr>
              <w:widowControl/>
              <w:spacing w:line="300" w:lineRule="exact"/>
              <w:jc w:val="center"/>
              <w:rPr>
                <w:rFonts w:hint="eastAsia" w:ascii="仿宋" w:hAnsi="仿宋" w:eastAsia="仿宋" w:cs="仿宋"/>
                <w:color w:val="000000"/>
                <w:kern w:val="0"/>
                <w:sz w:val="20"/>
                <w:szCs w:val="20"/>
                <w:highlight w:val="none"/>
                <w:lang w:val="en-US" w:eastAsia="zh-CN"/>
              </w:rPr>
            </w:pPr>
            <w:r>
              <w:rPr>
                <w:rFonts w:hint="eastAsia" w:ascii="仿宋" w:hAnsi="仿宋" w:eastAsia="仿宋" w:cs="仿宋"/>
                <w:color w:val="000000"/>
                <w:kern w:val="0"/>
                <w:sz w:val="20"/>
                <w:szCs w:val="20"/>
                <w:highlight w:val="none"/>
              </w:rPr>
              <w:t>2</w:t>
            </w:r>
            <w:r>
              <w:rPr>
                <w:rFonts w:hint="eastAsia" w:ascii="仿宋" w:hAnsi="仿宋" w:eastAsia="仿宋" w:cs="仿宋"/>
                <w:color w:val="000000"/>
                <w:kern w:val="0"/>
                <w:sz w:val="20"/>
                <w:szCs w:val="20"/>
                <w:highlight w:val="none"/>
                <w:lang w:val="en-US" w:eastAsia="zh-CN"/>
              </w:rPr>
              <w:t>0</w:t>
            </w:r>
          </w:p>
        </w:tc>
        <w:tc>
          <w:tcPr>
            <w:tcW w:w="1709" w:type="dxa"/>
            <w:tcBorders>
              <w:top w:val="nil"/>
              <w:left w:val="nil"/>
              <w:bottom w:val="single" w:color="auto" w:sz="4" w:space="0"/>
              <w:right w:val="single" w:color="auto" w:sz="4" w:space="0"/>
            </w:tcBorders>
            <w:shd w:val="clear" w:color="auto" w:fill="auto"/>
            <w:vAlign w:val="center"/>
          </w:tcPr>
          <w:p w14:paraId="7660DA0D">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负压表</w:t>
            </w:r>
          </w:p>
        </w:tc>
        <w:tc>
          <w:tcPr>
            <w:tcW w:w="4801" w:type="dxa"/>
            <w:tcBorders>
              <w:top w:val="nil"/>
              <w:left w:val="nil"/>
              <w:bottom w:val="single" w:color="auto" w:sz="4" w:space="0"/>
              <w:right w:val="single" w:color="auto" w:sz="4" w:space="0"/>
            </w:tcBorders>
            <w:shd w:val="clear" w:color="auto" w:fill="auto"/>
            <w:vAlign w:val="center"/>
          </w:tcPr>
          <w:p w14:paraId="4A0A9CBD">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-0.1-0</w:t>
            </w:r>
          </w:p>
        </w:tc>
        <w:tc>
          <w:tcPr>
            <w:tcW w:w="765" w:type="dxa"/>
            <w:tcBorders>
              <w:top w:val="nil"/>
              <w:left w:val="nil"/>
              <w:bottom w:val="single" w:color="auto" w:sz="4" w:space="0"/>
              <w:right w:val="single" w:color="auto" w:sz="4" w:space="0"/>
            </w:tcBorders>
            <w:shd w:val="clear" w:color="auto" w:fill="auto"/>
            <w:vAlign w:val="center"/>
          </w:tcPr>
          <w:p w14:paraId="24AB97A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2</w:t>
            </w:r>
          </w:p>
        </w:tc>
        <w:tc>
          <w:tcPr>
            <w:tcW w:w="780" w:type="dxa"/>
            <w:tcBorders>
              <w:top w:val="nil"/>
              <w:left w:val="nil"/>
              <w:bottom w:val="single" w:color="auto" w:sz="4" w:space="0"/>
              <w:right w:val="single" w:color="auto" w:sz="4" w:space="0"/>
            </w:tcBorders>
            <w:shd w:val="clear" w:color="auto" w:fill="auto"/>
            <w:vAlign w:val="center"/>
          </w:tcPr>
          <w:p w14:paraId="6ECF5EB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38757943">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红旗</w:t>
            </w:r>
          </w:p>
        </w:tc>
      </w:tr>
      <w:tr w14:paraId="215D1908">
        <w:tblPrEx>
          <w:tblCellMar>
            <w:top w:w="0" w:type="dxa"/>
            <w:left w:w="108" w:type="dxa"/>
            <w:bottom w:w="0" w:type="dxa"/>
            <w:right w:w="108" w:type="dxa"/>
          </w:tblCellMar>
        </w:tblPrEx>
        <w:trPr>
          <w:trHeight w:val="462"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797666BD">
            <w:pPr>
              <w:widowControl/>
              <w:spacing w:line="300" w:lineRule="exact"/>
              <w:jc w:val="center"/>
              <w:rPr>
                <w:rFonts w:hint="eastAsia" w:ascii="仿宋" w:hAnsi="仿宋" w:eastAsia="仿宋" w:cs="仿宋"/>
                <w:color w:val="000000"/>
                <w:kern w:val="0"/>
                <w:sz w:val="20"/>
                <w:szCs w:val="20"/>
                <w:highlight w:val="none"/>
                <w:lang w:val="en-US" w:eastAsia="zh-CN"/>
              </w:rPr>
            </w:pPr>
            <w:r>
              <w:rPr>
                <w:rFonts w:hint="eastAsia" w:ascii="仿宋" w:hAnsi="仿宋" w:eastAsia="仿宋" w:cs="仿宋"/>
                <w:color w:val="000000"/>
                <w:kern w:val="0"/>
                <w:sz w:val="20"/>
                <w:szCs w:val="20"/>
                <w:highlight w:val="none"/>
              </w:rPr>
              <w:t>2</w:t>
            </w:r>
            <w:r>
              <w:rPr>
                <w:rFonts w:hint="eastAsia" w:ascii="仿宋" w:hAnsi="仿宋" w:eastAsia="仿宋" w:cs="仿宋"/>
                <w:color w:val="000000"/>
                <w:kern w:val="0"/>
                <w:sz w:val="20"/>
                <w:szCs w:val="20"/>
                <w:highlight w:val="none"/>
                <w:lang w:val="en-US" w:eastAsia="zh-CN"/>
              </w:rPr>
              <w:t>1</w:t>
            </w:r>
          </w:p>
        </w:tc>
        <w:tc>
          <w:tcPr>
            <w:tcW w:w="1709" w:type="dxa"/>
            <w:tcBorders>
              <w:top w:val="nil"/>
              <w:left w:val="nil"/>
              <w:bottom w:val="single" w:color="auto" w:sz="4" w:space="0"/>
              <w:right w:val="single" w:color="auto" w:sz="4" w:space="0"/>
            </w:tcBorders>
            <w:shd w:val="clear" w:color="auto" w:fill="auto"/>
            <w:vAlign w:val="center"/>
          </w:tcPr>
          <w:p w14:paraId="4054D451">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液位浮球</w:t>
            </w:r>
          </w:p>
        </w:tc>
        <w:tc>
          <w:tcPr>
            <w:tcW w:w="4801" w:type="dxa"/>
            <w:tcBorders>
              <w:top w:val="nil"/>
              <w:left w:val="nil"/>
              <w:bottom w:val="single" w:color="auto" w:sz="4" w:space="0"/>
              <w:right w:val="single" w:color="auto" w:sz="4" w:space="0"/>
            </w:tcBorders>
            <w:shd w:val="clear" w:color="auto" w:fill="auto"/>
            <w:vAlign w:val="center"/>
          </w:tcPr>
          <w:p w14:paraId="02D8F089">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0-5m</w:t>
            </w:r>
          </w:p>
        </w:tc>
        <w:tc>
          <w:tcPr>
            <w:tcW w:w="765" w:type="dxa"/>
            <w:tcBorders>
              <w:top w:val="nil"/>
              <w:left w:val="nil"/>
              <w:bottom w:val="single" w:color="auto" w:sz="4" w:space="0"/>
              <w:right w:val="single" w:color="auto" w:sz="4" w:space="0"/>
            </w:tcBorders>
            <w:shd w:val="clear" w:color="auto" w:fill="auto"/>
            <w:vAlign w:val="center"/>
          </w:tcPr>
          <w:p w14:paraId="13072F65">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6</w:t>
            </w:r>
          </w:p>
        </w:tc>
        <w:tc>
          <w:tcPr>
            <w:tcW w:w="780" w:type="dxa"/>
            <w:tcBorders>
              <w:top w:val="nil"/>
              <w:left w:val="nil"/>
              <w:bottom w:val="single" w:color="auto" w:sz="4" w:space="0"/>
              <w:right w:val="single" w:color="auto" w:sz="4" w:space="0"/>
            </w:tcBorders>
            <w:shd w:val="clear" w:color="auto" w:fill="auto"/>
            <w:vAlign w:val="center"/>
          </w:tcPr>
          <w:p w14:paraId="2544634F">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套</w:t>
            </w:r>
          </w:p>
        </w:tc>
        <w:tc>
          <w:tcPr>
            <w:tcW w:w="1095" w:type="dxa"/>
            <w:tcBorders>
              <w:top w:val="nil"/>
              <w:left w:val="nil"/>
              <w:bottom w:val="single" w:color="auto" w:sz="4" w:space="0"/>
              <w:right w:val="single" w:color="auto" w:sz="4" w:space="0"/>
            </w:tcBorders>
            <w:shd w:val="clear" w:color="auto" w:fill="auto"/>
            <w:noWrap/>
            <w:vAlign w:val="center"/>
          </w:tcPr>
          <w:p w14:paraId="6132D997">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马赫</w:t>
            </w:r>
          </w:p>
        </w:tc>
      </w:tr>
      <w:tr w14:paraId="0E76FAD9">
        <w:tblPrEx>
          <w:tblCellMar>
            <w:top w:w="0" w:type="dxa"/>
            <w:left w:w="108" w:type="dxa"/>
            <w:bottom w:w="0" w:type="dxa"/>
            <w:right w:w="108" w:type="dxa"/>
          </w:tblCellMar>
        </w:tblPrEx>
        <w:trPr>
          <w:trHeight w:val="462" w:hRule="atLeast"/>
        </w:trPr>
        <w:tc>
          <w:tcPr>
            <w:tcW w:w="640" w:type="dxa"/>
            <w:tcBorders>
              <w:top w:val="nil"/>
              <w:left w:val="single" w:color="auto" w:sz="4" w:space="0"/>
              <w:bottom w:val="single" w:color="auto" w:sz="4" w:space="0"/>
              <w:right w:val="single" w:color="auto" w:sz="4" w:space="0"/>
            </w:tcBorders>
            <w:shd w:val="clear" w:color="auto" w:fill="auto"/>
            <w:noWrap/>
            <w:vAlign w:val="center"/>
          </w:tcPr>
          <w:p w14:paraId="4E2017B7">
            <w:pPr>
              <w:widowControl/>
              <w:spacing w:line="300" w:lineRule="exact"/>
              <w:jc w:val="center"/>
              <w:rPr>
                <w:rFonts w:hint="eastAsia" w:ascii="仿宋" w:hAnsi="仿宋" w:eastAsia="仿宋" w:cs="仿宋"/>
                <w:color w:val="000000"/>
                <w:kern w:val="0"/>
                <w:sz w:val="20"/>
                <w:szCs w:val="20"/>
                <w:highlight w:val="none"/>
                <w:lang w:val="en-US" w:eastAsia="zh-CN"/>
              </w:rPr>
            </w:pPr>
            <w:r>
              <w:rPr>
                <w:rFonts w:hint="eastAsia" w:ascii="仿宋" w:hAnsi="仿宋" w:eastAsia="仿宋" w:cs="仿宋"/>
                <w:color w:val="000000"/>
                <w:kern w:val="0"/>
                <w:sz w:val="20"/>
                <w:szCs w:val="20"/>
                <w:highlight w:val="none"/>
              </w:rPr>
              <w:t>2</w:t>
            </w:r>
            <w:r>
              <w:rPr>
                <w:rFonts w:hint="eastAsia" w:ascii="仿宋" w:hAnsi="仿宋" w:eastAsia="仿宋" w:cs="仿宋"/>
                <w:color w:val="000000"/>
                <w:kern w:val="0"/>
                <w:sz w:val="20"/>
                <w:szCs w:val="20"/>
                <w:highlight w:val="none"/>
                <w:lang w:val="en-US" w:eastAsia="zh-CN"/>
              </w:rPr>
              <w:t>2</w:t>
            </w:r>
          </w:p>
        </w:tc>
        <w:tc>
          <w:tcPr>
            <w:tcW w:w="1709" w:type="dxa"/>
            <w:tcBorders>
              <w:top w:val="nil"/>
              <w:left w:val="nil"/>
              <w:bottom w:val="single" w:color="auto" w:sz="4" w:space="0"/>
              <w:right w:val="single" w:color="auto" w:sz="4" w:space="0"/>
            </w:tcBorders>
            <w:shd w:val="clear" w:color="auto" w:fill="auto"/>
            <w:vAlign w:val="center"/>
          </w:tcPr>
          <w:p w14:paraId="564A0AD6">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压力液位传感器</w:t>
            </w:r>
          </w:p>
        </w:tc>
        <w:tc>
          <w:tcPr>
            <w:tcW w:w="4801" w:type="dxa"/>
            <w:tcBorders>
              <w:top w:val="nil"/>
              <w:left w:val="nil"/>
              <w:bottom w:val="single" w:color="auto" w:sz="4" w:space="0"/>
              <w:right w:val="single" w:color="auto" w:sz="4" w:space="0"/>
            </w:tcBorders>
            <w:shd w:val="clear" w:color="auto" w:fill="auto"/>
            <w:vAlign w:val="center"/>
          </w:tcPr>
          <w:p w14:paraId="64911521">
            <w:pPr>
              <w:widowControl/>
              <w:spacing w:line="300" w:lineRule="exact"/>
              <w:jc w:val="left"/>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4-20ma  0-5m</w:t>
            </w:r>
          </w:p>
        </w:tc>
        <w:tc>
          <w:tcPr>
            <w:tcW w:w="765" w:type="dxa"/>
            <w:tcBorders>
              <w:top w:val="nil"/>
              <w:left w:val="nil"/>
              <w:bottom w:val="single" w:color="auto" w:sz="4" w:space="0"/>
              <w:right w:val="single" w:color="auto" w:sz="4" w:space="0"/>
            </w:tcBorders>
            <w:shd w:val="clear" w:color="auto" w:fill="auto"/>
            <w:vAlign w:val="center"/>
          </w:tcPr>
          <w:p w14:paraId="1FAEE636">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1</w:t>
            </w:r>
          </w:p>
        </w:tc>
        <w:tc>
          <w:tcPr>
            <w:tcW w:w="780" w:type="dxa"/>
            <w:tcBorders>
              <w:top w:val="nil"/>
              <w:left w:val="nil"/>
              <w:bottom w:val="single" w:color="auto" w:sz="4" w:space="0"/>
              <w:right w:val="single" w:color="auto" w:sz="4" w:space="0"/>
            </w:tcBorders>
            <w:shd w:val="clear" w:color="auto" w:fill="auto"/>
            <w:vAlign w:val="center"/>
          </w:tcPr>
          <w:p w14:paraId="072CFC3C">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台</w:t>
            </w:r>
          </w:p>
        </w:tc>
        <w:tc>
          <w:tcPr>
            <w:tcW w:w="1095" w:type="dxa"/>
            <w:tcBorders>
              <w:top w:val="nil"/>
              <w:left w:val="nil"/>
              <w:bottom w:val="single" w:color="auto" w:sz="4" w:space="0"/>
              <w:right w:val="single" w:color="auto" w:sz="4" w:space="0"/>
            </w:tcBorders>
            <w:shd w:val="clear" w:color="auto" w:fill="auto"/>
            <w:noWrap/>
            <w:vAlign w:val="center"/>
          </w:tcPr>
          <w:p w14:paraId="411EAD71">
            <w:pPr>
              <w:widowControl/>
              <w:spacing w:line="300" w:lineRule="exact"/>
              <w:jc w:val="center"/>
              <w:rPr>
                <w:rFonts w:hint="eastAsia" w:ascii="仿宋" w:hAnsi="仿宋" w:eastAsia="仿宋" w:cs="仿宋"/>
                <w:color w:val="000000"/>
                <w:kern w:val="0"/>
                <w:sz w:val="20"/>
                <w:szCs w:val="20"/>
                <w:highlight w:val="none"/>
              </w:rPr>
            </w:pPr>
            <w:r>
              <w:rPr>
                <w:rFonts w:hint="eastAsia" w:ascii="仿宋" w:hAnsi="仿宋" w:eastAsia="仿宋" w:cs="仿宋"/>
                <w:color w:val="000000"/>
                <w:kern w:val="0"/>
                <w:sz w:val="20"/>
                <w:szCs w:val="20"/>
                <w:highlight w:val="none"/>
              </w:rPr>
              <w:t>天润</w:t>
            </w:r>
          </w:p>
        </w:tc>
      </w:tr>
    </w:tbl>
    <w:p w14:paraId="6491CA43">
      <w:pPr>
        <w:pStyle w:val="11"/>
        <w:jc w:val="both"/>
        <w:rPr>
          <w:rFonts w:hint="eastAsia"/>
          <w:kern w:val="0"/>
          <w:sz w:val="36"/>
          <w:szCs w:val="36"/>
          <w:highlight w:val="none"/>
          <w:lang w:val="en-US" w:eastAsia="zh-CN"/>
        </w:rPr>
      </w:pPr>
    </w:p>
    <w:p w14:paraId="5AD1EB4F">
      <w:pPr>
        <w:rPr>
          <w:rFonts w:hint="eastAsia"/>
          <w:kern w:val="0"/>
          <w:sz w:val="36"/>
          <w:szCs w:val="36"/>
          <w:highlight w:val="none"/>
          <w:lang w:val="en-US" w:eastAsia="zh-CN"/>
        </w:rPr>
      </w:pPr>
    </w:p>
    <w:p w14:paraId="24DCBF3B">
      <w:pPr>
        <w:rPr>
          <w:rFonts w:hint="eastAsia"/>
          <w:kern w:val="0"/>
          <w:sz w:val="36"/>
          <w:szCs w:val="36"/>
          <w:highlight w:val="none"/>
          <w:lang w:val="en-US" w:eastAsia="zh-CN"/>
        </w:rPr>
      </w:pPr>
    </w:p>
    <w:p w14:paraId="2833F536">
      <w:pPr>
        <w:rPr>
          <w:rFonts w:hint="eastAsia"/>
          <w:kern w:val="0"/>
          <w:sz w:val="36"/>
          <w:szCs w:val="36"/>
          <w:highlight w:val="none"/>
          <w:lang w:val="en-US" w:eastAsia="zh-CN"/>
        </w:rPr>
      </w:pPr>
    </w:p>
    <w:p w14:paraId="7468A24A">
      <w:pPr>
        <w:rPr>
          <w:rFonts w:hint="eastAsia"/>
          <w:kern w:val="0"/>
          <w:sz w:val="36"/>
          <w:szCs w:val="36"/>
          <w:highlight w:val="none"/>
          <w:lang w:val="en-US" w:eastAsia="zh-CN"/>
        </w:rPr>
      </w:pPr>
    </w:p>
    <w:p w14:paraId="24C857AC">
      <w:pPr>
        <w:rPr>
          <w:rFonts w:hint="eastAsia"/>
          <w:kern w:val="0"/>
          <w:sz w:val="36"/>
          <w:szCs w:val="36"/>
          <w:highlight w:val="none"/>
          <w:lang w:val="en-US" w:eastAsia="zh-CN"/>
        </w:rPr>
      </w:pPr>
    </w:p>
    <w:p w14:paraId="64BF33CC">
      <w:pPr>
        <w:rPr>
          <w:rFonts w:hint="eastAsia"/>
          <w:kern w:val="0"/>
          <w:sz w:val="36"/>
          <w:szCs w:val="36"/>
          <w:highlight w:val="none"/>
          <w:lang w:val="en-US" w:eastAsia="zh-CN"/>
        </w:rPr>
      </w:pPr>
    </w:p>
    <w:p w14:paraId="2669EB82">
      <w:pPr>
        <w:pStyle w:val="11"/>
        <w:ind w:left="0" w:leftChars="0" w:firstLine="220" w:firstLineChars="61"/>
        <w:jc w:val="center"/>
        <w:rPr>
          <w:rFonts w:hint="eastAsia" w:ascii="仿宋_GB2312" w:hAnsi="仿宋" w:eastAsia="仿宋_GB2312"/>
          <w:b/>
          <w:sz w:val="36"/>
          <w:szCs w:val="36"/>
          <w:highlight w:val="none"/>
        </w:rPr>
      </w:pPr>
      <w:r>
        <w:rPr>
          <w:rFonts w:hint="eastAsia"/>
          <w:kern w:val="0"/>
          <w:sz w:val="36"/>
          <w:szCs w:val="36"/>
          <w:highlight w:val="none"/>
          <w:lang w:val="en-US" w:eastAsia="zh-CN"/>
        </w:rPr>
        <w:t>第四部分合同文本</w:t>
      </w:r>
    </w:p>
    <w:p w14:paraId="529B9452">
      <w:pPr>
        <w:jc w:val="center"/>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2026年度中纺大厦B2层污水处理设备</w:t>
      </w:r>
    </w:p>
    <w:p w14:paraId="0C345082">
      <w:pPr>
        <w:jc w:val="center"/>
        <w:rPr>
          <w:rFonts w:hint="eastAsia" w:ascii="仿宋_GB2312" w:hAnsi="仿宋_GB2312" w:eastAsia="仿宋_GB2312" w:cs="仿宋_GB2312"/>
          <w:b/>
          <w:bCs/>
          <w:sz w:val="28"/>
          <w:szCs w:val="28"/>
          <w:highlight w:val="none"/>
          <w:u w:val="single"/>
        </w:rPr>
      </w:pPr>
      <w:r>
        <w:rPr>
          <w:rFonts w:hint="eastAsia" w:ascii="仿宋_GB2312" w:hAnsi="仿宋_GB2312" w:eastAsia="仿宋_GB2312" w:cs="仿宋_GB2312"/>
          <w:b/>
          <w:sz w:val="28"/>
          <w:szCs w:val="28"/>
          <w:highlight w:val="none"/>
        </w:rPr>
        <w:t>维护维修保养合同</w:t>
      </w:r>
    </w:p>
    <w:p w14:paraId="02261E07">
      <w:pPr>
        <w:spacing w:line="50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发包方（甲方）：中纺物业管理有限公司</w:t>
      </w:r>
    </w:p>
    <w:p w14:paraId="0432BBF9">
      <w:pPr>
        <w:spacing w:line="500" w:lineRule="exact"/>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承包方（乙方）：</w:t>
      </w:r>
    </w:p>
    <w:p w14:paraId="7D63DA19">
      <w:pPr>
        <w:spacing w:line="360" w:lineRule="auto"/>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依照有关法律法规，甲、乙双方在平等、自愿、等价有偿、诚实信用的基础上，就中纺大厦</w:t>
      </w:r>
      <w:r>
        <w:rPr>
          <w:rFonts w:hint="eastAsia" w:ascii="仿宋_GB2312" w:hAnsi="仿宋_GB2312" w:eastAsia="仿宋_GB2312" w:cs="仿宋_GB2312"/>
          <w:sz w:val="28"/>
          <w:szCs w:val="28"/>
          <w:highlight w:val="none"/>
          <w:vertAlign w:val="baseline"/>
          <w:lang w:val="en-US" w:eastAsia="zh-CN"/>
        </w:rPr>
        <w:t>B2层污水处理设备房内污水处理设备维护维修保养</w:t>
      </w:r>
      <w:r>
        <w:rPr>
          <w:rFonts w:hint="eastAsia" w:ascii="仿宋_GB2312" w:hAnsi="仿宋_GB2312" w:eastAsia="仿宋_GB2312" w:cs="仿宋_GB2312"/>
          <w:sz w:val="28"/>
          <w:szCs w:val="28"/>
          <w:highlight w:val="none"/>
        </w:rPr>
        <w:t>项目</w:t>
      </w:r>
      <w:r>
        <w:rPr>
          <w:rFonts w:hint="eastAsia" w:ascii="仿宋_GB2312" w:hAnsi="仿宋_GB2312" w:eastAsia="仿宋_GB2312" w:cs="仿宋_GB2312"/>
          <w:color w:val="000000"/>
          <w:sz w:val="28"/>
          <w:szCs w:val="28"/>
          <w:highlight w:val="none"/>
        </w:rPr>
        <w:t>等工作事宜</w:t>
      </w:r>
      <w:r>
        <w:rPr>
          <w:rFonts w:hint="eastAsia" w:ascii="仿宋_GB2312" w:hAnsi="仿宋_GB2312" w:eastAsia="仿宋_GB2312" w:cs="仿宋_GB2312"/>
          <w:sz w:val="28"/>
          <w:szCs w:val="28"/>
          <w:highlight w:val="none"/>
        </w:rPr>
        <w:t>，协商一致，特签订本合同，以资信守。</w:t>
      </w:r>
    </w:p>
    <w:p w14:paraId="2D9FD580">
      <w:pPr>
        <w:spacing w:line="460" w:lineRule="exact"/>
        <w:jc w:val="left"/>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第1条  维修保养对象</w:t>
      </w:r>
    </w:p>
    <w:p w14:paraId="71B14A8E">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rPr>
        <w:t>设备名称：</w:t>
      </w:r>
      <w:r>
        <w:rPr>
          <w:rFonts w:hint="eastAsia" w:ascii="仿宋_GB2312" w:hAnsi="仿宋_GB2312" w:eastAsia="仿宋_GB2312" w:cs="仿宋_GB2312"/>
          <w:sz w:val="28"/>
          <w:szCs w:val="28"/>
          <w:highlight w:val="none"/>
          <w:vertAlign w:val="baseline"/>
          <w:lang w:val="en-US" w:eastAsia="zh-CN"/>
        </w:rPr>
        <w:t>中纺大厦污水处理设备1套（以下为设备图例）</w:t>
      </w:r>
    </w:p>
    <w:p w14:paraId="14BC30EA">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88415" cy="966470"/>
            <wp:effectExtent l="0" t="0" r="6985" b="5080"/>
            <wp:docPr id="12" name="图片 1" descr="d406824472edf4f29f8ed8729ae13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d406824472edf4f29f8ed8729ae13e6"/>
                    <pic:cNvPicPr>
                      <a:picLocks noChangeAspect="1"/>
                    </pic:cNvPicPr>
                  </pic:nvPicPr>
                  <pic:blipFill>
                    <a:blip r:embed="rId12"/>
                    <a:stretch>
                      <a:fillRect/>
                    </a:stretch>
                  </pic:blipFill>
                  <pic:spPr>
                    <a:xfrm>
                      <a:off x="0" y="0"/>
                      <a:ext cx="1288415" cy="966470"/>
                    </a:xfrm>
                    <a:prstGeom prst="rect">
                      <a:avLst/>
                    </a:prstGeom>
                    <a:noFill/>
                    <a:ln>
                      <a:noFill/>
                    </a:ln>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92860" cy="969645"/>
            <wp:effectExtent l="0" t="0" r="2540" b="1905"/>
            <wp:docPr id="14" name="图片 2" descr="ed435e622cc0e9013cd0c2abe6d9b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ed435e622cc0e9013cd0c2abe6d9b94"/>
                    <pic:cNvPicPr>
                      <a:picLocks noChangeAspect="1"/>
                    </pic:cNvPicPr>
                  </pic:nvPicPr>
                  <pic:blipFill>
                    <a:blip r:embed="rId13"/>
                    <a:stretch>
                      <a:fillRect/>
                    </a:stretch>
                  </pic:blipFill>
                  <pic:spPr>
                    <a:xfrm>
                      <a:off x="0" y="0"/>
                      <a:ext cx="1292860" cy="969645"/>
                    </a:xfrm>
                    <a:prstGeom prst="rect">
                      <a:avLst/>
                    </a:prstGeom>
                    <a:noFill/>
                    <a:ln>
                      <a:noFill/>
                    </a:ln>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83970" cy="963295"/>
            <wp:effectExtent l="0" t="0" r="11430" b="8255"/>
            <wp:docPr id="10" name="图片 3" descr="ee0a244e8be5f7966f09dacce1502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ee0a244e8be5f7966f09dacce1502a6"/>
                    <pic:cNvPicPr>
                      <a:picLocks noChangeAspect="1"/>
                    </pic:cNvPicPr>
                  </pic:nvPicPr>
                  <pic:blipFill>
                    <a:blip r:embed="rId14"/>
                    <a:stretch>
                      <a:fillRect/>
                    </a:stretch>
                  </pic:blipFill>
                  <pic:spPr>
                    <a:xfrm>
                      <a:off x="0" y="0"/>
                      <a:ext cx="1283970" cy="963295"/>
                    </a:xfrm>
                    <a:prstGeom prst="rect">
                      <a:avLst/>
                    </a:prstGeom>
                    <a:noFill/>
                    <a:ln>
                      <a:noFill/>
                    </a:ln>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318895" cy="989330"/>
            <wp:effectExtent l="0" t="0" r="14605" b="1270"/>
            <wp:docPr id="15" name="图片 4" descr="af75beeb2f24c5c4ea9afa730be8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af75beeb2f24c5c4ea9afa730be8445"/>
                    <pic:cNvPicPr>
                      <a:picLocks noChangeAspect="1"/>
                    </pic:cNvPicPr>
                  </pic:nvPicPr>
                  <pic:blipFill>
                    <a:blip r:embed="rId15"/>
                    <a:stretch>
                      <a:fillRect/>
                    </a:stretch>
                  </pic:blipFill>
                  <pic:spPr>
                    <a:xfrm>
                      <a:off x="0" y="0"/>
                      <a:ext cx="1318895" cy="989330"/>
                    </a:xfrm>
                    <a:prstGeom prst="rect">
                      <a:avLst/>
                    </a:prstGeom>
                    <a:noFill/>
                    <a:ln>
                      <a:noFill/>
                    </a:ln>
                  </pic:spPr>
                </pic:pic>
              </a:graphicData>
            </a:graphic>
          </wp:inline>
        </w:drawing>
      </w:r>
    </w:p>
    <w:p w14:paraId="7CB84270">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设备型号：</w:t>
      </w:r>
      <w:r>
        <w:rPr>
          <w:rFonts w:hint="eastAsia" w:ascii="仿宋_GB2312" w:hAnsi="仿宋_GB2312" w:eastAsia="仿宋_GB2312" w:cs="仿宋_GB2312"/>
          <w:sz w:val="28"/>
          <w:szCs w:val="28"/>
          <w:highlight w:val="none"/>
          <w:vertAlign w:val="baseline"/>
          <w:lang w:val="en-US" w:eastAsia="zh-CN"/>
        </w:rPr>
        <w:t>（聘请第三方公司安装），处理量为60m³/d</w:t>
      </w:r>
    </w:p>
    <w:p w14:paraId="6E3CB97B">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设备数量： 1套</w:t>
      </w:r>
    </w:p>
    <w:p w14:paraId="433FF906">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设备安装场所：中纺大厦</w:t>
      </w:r>
      <w:r>
        <w:rPr>
          <w:rFonts w:hint="eastAsia" w:ascii="仿宋_GB2312" w:hAnsi="仿宋_GB2312" w:eastAsia="仿宋_GB2312" w:cs="仿宋_GB2312"/>
          <w:sz w:val="28"/>
          <w:szCs w:val="28"/>
          <w:highlight w:val="none"/>
          <w:lang w:val="en-US" w:eastAsia="zh-CN"/>
        </w:rPr>
        <w:t>B2层污水处理设备间内</w:t>
      </w:r>
    </w:p>
    <w:p w14:paraId="357CA1C3">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地址：北京市东城区建国门内大街19号《中纺大厦》</w:t>
      </w:r>
    </w:p>
    <w:p w14:paraId="4A132B15">
      <w:pPr>
        <w:spacing w:line="460" w:lineRule="exact"/>
        <w:jc w:val="left"/>
        <w:rPr>
          <w:rFonts w:hint="eastAsia" w:ascii="仿宋_GB2312" w:hAnsi="仿宋_GB2312" w:eastAsia="仿宋_GB2312" w:cs="仿宋_GB2312"/>
          <w:b/>
          <w:bCs/>
          <w:sz w:val="28"/>
          <w:szCs w:val="28"/>
          <w:highlight w:val="none"/>
          <w:lang w:val="en-US" w:eastAsia="zh-CN"/>
        </w:rPr>
      </w:pPr>
      <w:r>
        <w:rPr>
          <w:rFonts w:hint="eastAsia" w:ascii="仿宋_GB2312" w:hAnsi="仿宋_GB2312" w:eastAsia="仿宋_GB2312" w:cs="仿宋_GB2312"/>
          <w:b/>
          <w:bCs/>
          <w:sz w:val="28"/>
          <w:szCs w:val="28"/>
          <w:highlight w:val="none"/>
        </w:rPr>
        <w:t>第2条  维修保养内容</w:t>
      </w:r>
      <w:r>
        <w:rPr>
          <w:rFonts w:hint="eastAsia" w:ascii="仿宋_GB2312" w:hAnsi="仿宋_GB2312" w:eastAsia="仿宋_GB2312" w:cs="仿宋_GB2312"/>
          <w:b/>
          <w:bCs/>
          <w:sz w:val="28"/>
          <w:szCs w:val="28"/>
          <w:highlight w:val="none"/>
          <w:lang w:val="en-US" w:eastAsia="zh-CN"/>
        </w:rPr>
        <w:t>及主要工作</w:t>
      </w:r>
    </w:p>
    <w:p w14:paraId="688E35A6">
      <w:pPr>
        <w:spacing w:line="360" w:lineRule="auto"/>
        <w:ind w:firstLine="560" w:firstLineChars="200"/>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甲方委托乙方</w:t>
      </w:r>
      <w:r>
        <w:rPr>
          <w:rFonts w:hint="eastAsia" w:ascii="仿宋_GB2312" w:hAnsi="仿宋_GB2312" w:eastAsia="仿宋_GB2312" w:cs="仿宋_GB2312"/>
          <w:color w:val="000000"/>
          <w:kern w:val="0"/>
          <w:sz w:val="28"/>
          <w:szCs w:val="28"/>
          <w:highlight w:val="none"/>
          <w:lang w:val="en-US" w:eastAsia="zh-CN"/>
        </w:rPr>
        <w:t>对中纺大厦B2层污水处理设备间内的污水处理设备</w:t>
      </w:r>
      <w:r>
        <w:rPr>
          <w:rFonts w:hint="eastAsia" w:ascii="仿宋_GB2312" w:hAnsi="仿宋_GB2312" w:eastAsia="仿宋_GB2312" w:cs="仿宋_GB2312"/>
          <w:color w:val="000000"/>
          <w:kern w:val="0"/>
          <w:sz w:val="28"/>
          <w:szCs w:val="28"/>
          <w:highlight w:val="none"/>
        </w:rPr>
        <w:t>进行</w:t>
      </w:r>
      <w:r>
        <w:rPr>
          <w:rFonts w:hint="eastAsia" w:ascii="仿宋_GB2312" w:hAnsi="仿宋_GB2312" w:eastAsia="仿宋_GB2312" w:cs="仿宋_GB2312"/>
          <w:color w:val="000000"/>
          <w:kern w:val="0"/>
          <w:sz w:val="28"/>
          <w:szCs w:val="28"/>
          <w:highlight w:val="none"/>
          <w:lang w:val="en-US" w:eastAsia="zh-CN"/>
        </w:rPr>
        <w:t>年度</w:t>
      </w:r>
      <w:r>
        <w:rPr>
          <w:rFonts w:hint="eastAsia" w:ascii="仿宋_GB2312" w:hAnsi="仿宋_GB2312" w:eastAsia="仿宋_GB2312" w:cs="仿宋_GB2312"/>
          <w:color w:val="000000"/>
          <w:kern w:val="0"/>
          <w:sz w:val="28"/>
          <w:szCs w:val="28"/>
          <w:highlight w:val="none"/>
        </w:rPr>
        <w:t>维护</w:t>
      </w:r>
      <w:r>
        <w:rPr>
          <w:rFonts w:hint="eastAsia" w:ascii="仿宋_GB2312" w:hAnsi="仿宋_GB2312" w:eastAsia="仿宋_GB2312" w:cs="仿宋_GB2312"/>
          <w:color w:val="000000"/>
          <w:kern w:val="0"/>
          <w:sz w:val="28"/>
          <w:szCs w:val="28"/>
          <w:highlight w:val="none"/>
          <w:lang w:eastAsia="zh-CN"/>
        </w:rPr>
        <w:t>、</w:t>
      </w:r>
      <w:r>
        <w:rPr>
          <w:rFonts w:hint="eastAsia" w:ascii="仿宋_GB2312" w:hAnsi="仿宋_GB2312" w:eastAsia="仿宋_GB2312" w:cs="仿宋_GB2312"/>
          <w:color w:val="000000"/>
          <w:kern w:val="0"/>
          <w:sz w:val="28"/>
          <w:szCs w:val="28"/>
          <w:highlight w:val="none"/>
          <w:lang w:val="en-US" w:eastAsia="zh-CN"/>
        </w:rPr>
        <w:t>维修、</w:t>
      </w:r>
      <w:r>
        <w:rPr>
          <w:rFonts w:hint="eastAsia" w:ascii="仿宋_GB2312" w:hAnsi="仿宋_GB2312" w:eastAsia="仿宋_GB2312" w:cs="仿宋_GB2312"/>
          <w:color w:val="000000"/>
          <w:kern w:val="0"/>
          <w:sz w:val="28"/>
          <w:szCs w:val="28"/>
          <w:highlight w:val="none"/>
        </w:rPr>
        <w:t>保养</w:t>
      </w:r>
      <w:r>
        <w:rPr>
          <w:rFonts w:hint="eastAsia" w:ascii="仿宋_GB2312" w:hAnsi="仿宋_GB2312" w:eastAsia="仿宋_GB2312" w:cs="仿宋_GB2312"/>
          <w:color w:val="000000"/>
          <w:kern w:val="0"/>
          <w:sz w:val="28"/>
          <w:szCs w:val="28"/>
          <w:highlight w:val="none"/>
          <w:lang w:val="en-US" w:eastAsia="zh-CN"/>
        </w:rPr>
        <w:t>等</w:t>
      </w:r>
      <w:r>
        <w:rPr>
          <w:rFonts w:hint="eastAsia" w:ascii="仿宋_GB2312" w:hAnsi="仿宋_GB2312" w:eastAsia="仿宋_GB2312" w:cs="仿宋_GB2312"/>
          <w:sz w:val="28"/>
          <w:szCs w:val="28"/>
          <w:highlight w:val="none"/>
        </w:rPr>
        <w:t>维保工作</w:t>
      </w:r>
      <w:r>
        <w:rPr>
          <w:rFonts w:hint="eastAsia" w:ascii="仿宋_GB2312" w:hAnsi="仿宋_GB2312" w:eastAsia="仿宋_GB2312" w:cs="仿宋_GB2312"/>
          <w:color w:val="000000"/>
          <w:kern w:val="0"/>
          <w:sz w:val="28"/>
          <w:szCs w:val="28"/>
          <w:highlight w:val="none"/>
        </w:rPr>
        <w:t>；</w:t>
      </w:r>
      <w:r>
        <w:rPr>
          <w:rFonts w:hint="eastAsia" w:ascii="仿宋_GB2312" w:hAnsi="仿宋_GB2312" w:eastAsia="仿宋_GB2312" w:cs="仿宋_GB2312"/>
          <w:color w:val="000000"/>
          <w:kern w:val="0"/>
          <w:sz w:val="28"/>
          <w:szCs w:val="28"/>
          <w:highlight w:val="none"/>
          <w:lang w:val="en-US" w:eastAsia="zh-CN"/>
        </w:rPr>
        <w:t>乙方主要负责：污水处理设备间内的污水处理设备设施正常运行和安全生产，负责设备、设施的保养、维护，负责设备加药、水质检测、膜离线在线清洗、污水处理设备相关各类泵维修工作；</w:t>
      </w:r>
      <w:r>
        <w:rPr>
          <w:rFonts w:hint="eastAsia" w:ascii="仿宋_GB2312" w:hAnsi="仿宋_GB2312" w:eastAsia="仿宋_GB2312" w:cs="仿宋_GB2312"/>
          <w:sz w:val="28"/>
          <w:szCs w:val="28"/>
          <w:highlight w:val="none"/>
        </w:rPr>
        <w:t>具体详见需求书。</w:t>
      </w:r>
    </w:p>
    <w:p w14:paraId="225720B2">
      <w:pPr>
        <w:spacing w:line="460" w:lineRule="exact"/>
        <w:jc w:val="left"/>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第3条  合同期限</w:t>
      </w:r>
    </w:p>
    <w:p w14:paraId="11297F79">
      <w:pPr>
        <w:spacing w:line="460" w:lineRule="exact"/>
        <w:ind w:firstLine="560" w:firstLineChars="200"/>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本合同期限为：壹年 自2026.1.1日至2026.12.31日止；</w:t>
      </w:r>
    </w:p>
    <w:p w14:paraId="1667EF06">
      <w:pPr>
        <w:spacing w:line="460" w:lineRule="exact"/>
        <w:jc w:val="left"/>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第4条  合同总价及支付方式</w:t>
      </w:r>
    </w:p>
    <w:p w14:paraId="0B9084BA">
      <w:pPr>
        <w:widowControl/>
        <w:tabs>
          <w:tab w:val="left" w:pos="8010"/>
        </w:tabs>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1.合同价款及支付方式：</w:t>
      </w:r>
    </w:p>
    <w:p w14:paraId="7B21BB49">
      <w:pPr>
        <w:widowControl/>
        <w:tabs>
          <w:tab w:val="left" w:pos="8010"/>
        </w:tabs>
        <w:spacing w:line="360" w:lineRule="auto"/>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1.1合同总价</w:t>
      </w:r>
      <w:r>
        <w:rPr>
          <w:rFonts w:hint="eastAsia" w:ascii="仿宋_GB2312" w:hAnsi="仿宋_GB2312" w:eastAsia="仿宋_GB2312" w:cs="仿宋_GB2312"/>
          <w:color w:val="000000"/>
          <w:sz w:val="28"/>
          <w:szCs w:val="28"/>
          <w:highlight w:val="none"/>
          <w:u w:val="single"/>
          <w:lang w:val="en-US" w:eastAsia="zh-CN"/>
        </w:rPr>
        <w:t>XXXXX</w:t>
      </w:r>
      <w:r>
        <w:rPr>
          <w:rFonts w:hint="eastAsia" w:ascii="仿宋_GB2312" w:hAnsi="仿宋_GB2312" w:eastAsia="仿宋_GB2312" w:cs="仿宋_GB2312"/>
          <w:color w:val="000000"/>
          <w:sz w:val="28"/>
          <w:szCs w:val="28"/>
          <w:highlight w:val="none"/>
        </w:rPr>
        <w:t>元（大写：</w:t>
      </w:r>
      <w:r>
        <w:rPr>
          <w:rFonts w:hint="eastAsia" w:ascii="仿宋_GB2312" w:hAnsi="仿宋_GB2312" w:eastAsia="仿宋_GB2312" w:cs="仿宋_GB2312"/>
          <w:color w:val="000000"/>
          <w:sz w:val="28"/>
          <w:szCs w:val="28"/>
          <w:highlight w:val="none"/>
          <w:u w:val="single"/>
          <w:lang w:val="en-US" w:eastAsia="zh-CN"/>
        </w:rPr>
        <w:t>XXXXXX</w:t>
      </w:r>
      <w:r>
        <w:rPr>
          <w:rFonts w:hint="eastAsia" w:ascii="仿宋_GB2312" w:hAnsi="仿宋_GB2312" w:eastAsia="仿宋_GB2312" w:cs="仿宋_GB2312"/>
          <w:color w:val="000000"/>
          <w:sz w:val="28"/>
          <w:szCs w:val="28"/>
          <w:highlight w:val="none"/>
        </w:rPr>
        <w:t>元整）。（其中税率</w:t>
      </w:r>
      <w:r>
        <w:rPr>
          <w:rFonts w:hint="eastAsia" w:ascii="仿宋_GB2312" w:hAnsi="仿宋_GB2312" w:eastAsia="仿宋_GB2312" w:cs="仿宋_GB2312"/>
          <w:color w:val="000000"/>
          <w:sz w:val="28"/>
          <w:szCs w:val="28"/>
          <w:highlight w:val="none"/>
          <w:lang w:val="en-US" w:eastAsia="zh-CN"/>
        </w:rPr>
        <w:t>XXX</w:t>
      </w:r>
      <w:r>
        <w:rPr>
          <w:rFonts w:hint="eastAsia" w:ascii="仿宋_GB2312" w:hAnsi="仿宋_GB2312" w:eastAsia="仿宋_GB2312" w:cs="仿宋_GB2312"/>
          <w:color w:val="000000"/>
          <w:sz w:val="28"/>
          <w:szCs w:val="28"/>
          <w:highlight w:val="none"/>
        </w:rPr>
        <w:t>%，不含增值税价格</w:t>
      </w:r>
      <w:r>
        <w:rPr>
          <w:rFonts w:hint="eastAsia" w:ascii="仿宋_GB2312" w:hAnsi="仿宋_GB2312" w:eastAsia="仿宋_GB2312" w:cs="仿宋_GB2312"/>
          <w:color w:val="000000"/>
          <w:sz w:val="28"/>
          <w:szCs w:val="28"/>
          <w:highlight w:val="none"/>
          <w:u w:val="single"/>
          <w:lang w:val="en-US" w:eastAsia="zh-CN"/>
        </w:rPr>
        <w:t>XXXXX</w:t>
      </w:r>
      <w:r>
        <w:rPr>
          <w:rFonts w:hint="eastAsia" w:ascii="仿宋_GB2312" w:hAnsi="仿宋_GB2312" w:eastAsia="仿宋_GB2312" w:cs="仿宋_GB2312"/>
          <w:color w:val="000000"/>
          <w:sz w:val="28"/>
          <w:szCs w:val="28"/>
          <w:highlight w:val="none"/>
        </w:rPr>
        <w:t>元，增值税金额</w:t>
      </w:r>
      <w:r>
        <w:rPr>
          <w:rFonts w:hint="eastAsia" w:ascii="仿宋_GB2312" w:hAnsi="仿宋_GB2312" w:eastAsia="仿宋_GB2312" w:cs="仿宋_GB2312"/>
          <w:color w:val="000000"/>
          <w:sz w:val="28"/>
          <w:szCs w:val="28"/>
          <w:highlight w:val="none"/>
          <w:u w:val="single"/>
          <w:lang w:val="en-US" w:eastAsia="zh-CN"/>
        </w:rPr>
        <w:t>XXXX</w:t>
      </w:r>
      <w:r>
        <w:rPr>
          <w:rFonts w:hint="eastAsia" w:ascii="仿宋_GB2312" w:hAnsi="仿宋_GB2312" w:eastAsia="仿宋_GB2312" w:cs="仿宋_GB2312"/>
          <w:color w:val="000000"/>
          <w:sz w:val="28"/>
          <w:szCs w:val="28"/>
          <w:highlight w:val="none"/>
        </w:rPr>
        <w:t>元）</w:t>
      </w:r>
    </w:p>
    <w:p w14:paraId="649E8DBC">
      <w:pPr>
        <w:widowControl/>
        <w:tabs>
          <w:tab w:val="left" w:pos="8010"/>
        </w:tabs>
        <w:spacing w:line="360" w:lineRule="auto"/>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 xml:space="preserve">1.2支付方式 </w:t>
      </w:r>
    </w:p>
    <w:p w14:paraId="211A0E32">
      <w:pPr>
        <w:spacing w:line="360" w:lineRule="auto"/>
        <w:ind w:firstLine="560" w:firstLineChars="200"/>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每半年维保服务结束后，乙方提交《半年度维保报告》，经甲方验收合格确认后，在2026年7月30日前乙方向甲方开具增值税专用发票，甲方收到发票后支付全部维保服务款项的50%，即人民币</w:t>
      </w:r>
      <w:r>
        <w:rPr>
          <w:rFonts w:hint="eastAsia" w:ascii="仿宋_GB2312" w:hAnsi="仿宋_GB2312" w:eastAsia="仿宋_GB2312" w:cs="仿宋_GB2312"/>
          <w:color w:val="000000"/>
          <w:sz w:val="28"/>
          <w:szCs w:val="28"/>
          <w:highlight w:val="none"/>
          <w:lang w:val="en-US" w:eastAsia="zh-CN"/>
        </w:rPr>
        <w:t>XXXX</w:t>
      </w:r>
      <w:r>
        <w:rPr>
          <w:rFonts w:hint="eastAsia" w:ascii="仿宋_GB2312" w:hAnsi="仿宋_GB2312" w:eastAsia="仿宋_GB2312" w:cs="仿宋_GB2312"/>
          <w:color w:val="000000"/>
          <w:sz w:val="28"/>
          <w:szCs w:val="28"/>
          <w:highlight w:val="none"/>
        </w:rPr>
        <w:t>元（大写：</w:t>
      </w:r>
      <w:r>
        <w:rPr>
          <w:rFonts w:hint="eastAsia" w:ascii="仿宋_GB2312" w:hAnsi="仿宋_GB2312" w:eastAsia="仿宋_GB2312" w:cs="仿宋_GB2312"/>
          <w:color w:val="000000"/>
          <w:sz w:val="28"/>
          <w:szCs w:val="28"/>
          <w:highlight w:val="none"/>
          <w:u w:val="single"/>
          <w:lang w:val="en-US" w:eastAsia="zh-CN"/>
        </w:rPr>
        <w:t>XXXX</w:t>
      </w:r>
      <w:r>
        <w:rPr>
          <w:rFonts w:hint="eastAsia" w:ascii="仿宋_GB2312" w:hAnsi="仿宋_GB2312" w:eastAsia="仿宋_GB2312" w:cs="仿宋_GB2312"/>
          <w:color w:val="000000"/>
          <w:sz w:val="28"/>
          <w:szCs w:val="28"/>
          <w:highlight w:val="none"/>
        </w:rPr>
        <w:t>元整）。合同到期后根据乙方出具的《年度维保报告》经甲方验收合格确认后，支付尾款50%费用，即人民币</w:t>
      </w:r>
      <w:r>
        <w:rPr>
          <w:rFonts w:hint="eastAsia" w:ascii="仿宋_GB2312" w:hAnsi="仿宋_GB2312" w:eastAsia="仿宋_GB2312" w:cs="仿宋_GB2312"/>
          <w:color w:val="000000"/>
          <w:sz w:val="28"/>
          <w:szCs w:val="28"/>
          <w:highlight w:val="none"/>
          <w:u w:val="single"/>
          <w:lang w:val="en-US" w:eastAsia="zh-CN"/>
        </w:rPr>
        <w:t>XXXXX</w:t>
      </w:r>
      <w:r>
        <w:rPr>
          <w:rFonts w:hint="eastAsia" w:ascii="仿宋_GB2312" w:hAnsi="仿宋_GB2312" w:eastAsia="仿宋_GB2312" w:cs="仿宋_GB2312"/>
          <w:color w:val="000000"/>
          <w:sz w:val="28"/>
          <w:szCs w:val="28"/>
          <w:highlight w:val="none"/>
        </w:rPr>
        <w:t>元（大写：</w:t>
      </w:r>
      <w:r>
        <w:rPr>
          <w:rFonts w:hint="eastAsia" w:ascii="仿宋_GB2312" w:hAnsi="仿宋_GB2312" w:eastAsia="仿宋_GB2312" w:cs="仿宋_GB2312"/>
          <w:color w:val="000000"/>
          <w:sz w:val="28"/>
          <w:szCs w:val="28"/>
          <w:highlight w:val="none"/>
          <w:u w:val="single"/>
          <w:lang w:val="en-US" w:eastAsia="zh-CN"/>
        </w:rPr>
        <w:t>XXXXXX</w:t>
      </w:r>
      <w:r>
        <w:rPr>
          <w:rFonts w:hint="eastAsia" w:ascii="仿宋_GB2312" w:hAnsi="仿宋_GB2312" w:eastAsia="仿宋_GB2312" w:cs="仿宋_GB2312"/>
          <w:color w:val="000000"/>
          <w:sz w:val="28"/>
          <w:szCs w:val="28"/>
          <w:highlight w:val="none"/>
        </w:rPr>
        <w:t>元整）。</w:t>
      </w:r>
    </w:p>
    <w:p w14:paraId="244EC0D8">
      <w:pPr>
        <w:spacing w:line="360" w:lineRule="auto"/>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上述费用为甲方在本合同项下应向乙方支付的最终含税价格，已经包含乙方完成本合同项下服务项目并交付甲方正常使用所涉及的所有费用，甲方不再支付任何其他费用。本合同下甲方每次付款前，乙方均应提前向甲方开具相应金额合法合格的正式增值税专用发票，否则甲方有权延迟付款且不视为违约，甲方收到发票后向乙方支付每阶段应付费用。因乙方未及时提供合法</w:t>
      </w:r>
      <w:r>
        <w:rPr>
          <w:rFonts w:hint="eastAsia" w:ascii="仿宋_GB2312" w:hAnsi="仿宋_GB2312" w:eastAsia="仿宋_GB2312" w:cs="仿宋_GB2312"/>
          <w:sz w:val="28"/>
          <w:szCs w:val="28"/>
          <w:highlight w:val="none"/>
          <w:lang w:eastAsia="zh-CN"/>
        </w:rPr>
        <w:t>合规</w:t>
      </w:r>
      <w:r>
        <w:rPr>
          <w:rFonts w:hint="eastAsia" w:ascii="仿宋_GB2312" w:hAnsi="仿宋_GB2312" w:eastAsia="仿宋_GB2312" w:cs="仿宋_GB2312"/>
          <w:sz w:val="28"/>
          <w:szCs w:val="28"/>
          <w:highlight w:val="none"/>
        </w:rPr>
        <w:t>的增值税专用发票或因其他乙方原因导致甲方无法抵扣进项税的，乙方应及时积极协助甲方办理相关补救手续，并赔偿甲方的相应损失。</w:t>
      </w:r>
    </w:p>
    <w:p w14:paraId="50D7D006">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1.3甲乙双方账户信息</w:t>
      </w:r>
    </w:p>
    <w:p w14:paraId="573A7EB6">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乙方账户信息</w:t>
      </w:r>
    </w:p>
    <w:p w14:paraId="00D5698A">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lang w:eastAsia="zh-Hans"/>
        </w:rPr>
      </w:pPr>
      <w:r>
        <w:rPr>
          <w:rFonts w:hint="eastAsia" w:ascii="仿宋_GB2312" w:hAnsi="仿宋_GB2312" w:eastAsia="仿宋_GB2312" w:cs="仿宋_GB2312"/>
          <w:color w:val="000000"/>
          <w:sz w:val="28"/>
          <w:szCs w:val="28"/>
          <w:highlight w:val="none"/>
        </w:rPr>
        <w:t>公司名称：</w:t>
      </w:r>
    </w:p>
    <w:p w14:paraId="3E669DC3">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纳税人识别号：</w:t>
      </w:r>
    </w:p>
    <w:p w14:paraId="1E35EAB8">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 xml:space="preserve">地    址： </w:t>
      </w:r>
    </w:p>
    <w:p w14:paraId="4F57BBF5">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电    话：</w:t>
      </w:r>
    </w:p>
    <w:p w14:paraId="4A69EAFF">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开 户 行：</w:t>
      </w:r>
    </w:p>
    <w:p w14:paraId="6E8CBF9F">
      <w:pPr>
        <w:tabs>
          <w:tab w:val="left" w:pos="630"/>
        </w:tabs>
        <w:overflowPunct w:val="0"/>
        <w:spacing w:line="360" w:lineRule="auto"/>
        <w:jc w:val="left"/>
        <w:textAlignment w:val="bottom"/>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lang w:eastAsia="zh-CN"/>
        </w:rPr>
        <w:t>账</w:t>
      </w:r>
      <w:r>
        <w:rPr>
          <w:rFonts w:hint="eastAsia" w:ascii="仿宋_GB2312" w:hAnsi="仿宋_GB2312" w:eastAsia="仿宋_GB2312" w:cs="仿宋_GB2312"/>
          <w:color w:val="000000"/>
          <w:sz w:val="28"/>
          <w:szCs w:val="28"/>
          <w:highlight w:val="none"/>
        </w:rPr>
        <w:t xml:space="preserve">    号：</w:t>
      </w:r>
    </w:p>
    <w:p w14:paraId="5C10FDAE">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如需变更账号信息，要签订补充协议或提供纸质版变更说明。</w:t>
      </w:r>
    </w:p>
    <w:p w14:paraId="07B50148">
      <w:pPr>
        <w:spacing w:line="360" w:lineRule="auto"/>
        <w:rPr>
          <w:rFonts w:hint="eastAsia" w:ascii="仿宋_GB2312" w:hAnsi="仿宋_GB2312" w:eastAsia="仿宋_GB2312" w:cs="仿宋_GB2312"/>
          <w:i/>
          <w:iCs/>
          <w:sz w:val="28"/>
          <w:szCs w:val="28"/>
          <w:highlight w:val="none"/>
        </w:rPr>
      </w:pPr>
      <w:r>
        <w:rPr>
          <w:rFonts w:hint="eastAsia" w:ascii="仿宋_GB2312" w:hAnsi="仿宋_GB2312" w:eastAsia="仿宋_GB2312" w:cs="仿宋_GB2312"/>
          <w:sz w:val="28"/>
          <w:szCs w:val="28"/>
          <w:highlight w:val="none"/>
        </w:rPr>
        <w:t>甲方发票信息</w:t>
      </w:r>
    </w:p>
    <w:p w14:paraId="69110A3B">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单位名称： 中纺物业管理有限公司</w:t>
      </w:r>
      <w:r>
        <w:rPr>
          <w:rFonts w:hint="eastAsia" w:ascii="仿宋_GB2312" w:hAnsi="仿宋_GB2312" w:eastAsia="仿宋_GB2312" w:cs="仿宋_GB2312"/>
          <w:sz w:val="28"/>
          <w:szCs w:val="28"/>
          <w:highlight w:val="none"/>
        </w:rPr>
        <w:tab/>
      </w:r>
    </w:p>
    <w:p w14:paraId="01479067">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纳税人识别号：91110000100023656Q</w:t>
      </w:r>
    </w:p>
    <w:p w14:paraId="0C5E369D">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地址：北京市东城区建国门内大街19号中纺大厦</w:t>
      </w:r>
    </w:p>
    <w:p w14:paraId="6FCF0E3D">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电话：010-65280766</w:t>
      </w:r>
    </w:p>
    <w:p w14:paraId="7F3CCBAA">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开户行：北京银行东单支行</w:t>
      </w:r>
    </w:p>
    <w:p w14:paraId="460FFF88">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账号：01090945000120109005584</w:t>
      </w:r>
    </w:p>
    <w:p w14:paraId="0C1194DA">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如需变更账号信息，要签订补充协议或提供纸质版变更说明。</w:t>
      </w:r>
    </w:p>
    <w:p w14:paraId="3C910B9A">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1.3.1甲方付款之前，乙方应开具合法有效的等额增值税专用发票，否则甲方有权拒不付款且不承担逾期付款的违约责任。</w:t>
      </w:r>
    </w:p>
    <w:p w14:paraId="61628BE4">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1.3.2甲方为增值税一般纳税人，甲方需要乙方开具增值税专用发票，乙方应按甲方提供的开票信息向甲方开具并送达增值税专用发票。如果乙方为小规模纳税人，也应提供税务机关代开的增值税专用发票。</w:t>
      </w:r>
    </w:p>
    <w:p w14:paraId="0E813570">
      <w:pPr>
        <w:spacing w:line="360" w:lineRule="auto"/>
        <w:rPr>
          <w:rFonts w:hint="eastAsia" w:ascii="仿宋_GB2312" w:hAnsi="仿宋_GB2312" w:eastAsia="仿宋_GB2312" w:cs="仿宋_GB2312"/>
          <w:bCs/>
          <w:sz w:val="28"/>
          <w:szCs w:val="28"/>
          <w:highlight w:val="none"/>
        </w:rPr>
      </w:pPr>
      <w:r>
        <w:rPr>
          <w:rFonts w:hint="eastAsia" w:ascii="仿宋_GB2312" w:hAnsi="仿宋_GB2312" w:eastAsia="仿宋_GB2312" w:cs="仿宋_GB2312"/>
          <w:sz w:val="28"/>
          <w:szCs w:val="28"/>
          <w:highlight w:val="none"/>
        </w:rPr>
        <w:t>1.3.3</w:t>
      </w:r>
      <w:r>
        <w:rPr>
          <w:rFonts w:hint="eastAsia" w:ascii="仿宋_GB2312" w:hAnsi="仿宋_GB2312" w:eastAsia="仿宋_GB2312" w:cs="仿宋_GB2312"/>
          <w:bCs/>
          <w:sz w:val="28"/>
          <w:szCs w:val="28"/>
          <w:highlight w:val="none"/>
        </w:rPr>
        <w:t>如遇甲方所委托乙方维护保养设备进行大修或更换时，此维保合同自动终止，所产生维保费用以实际结算。</w:t>
      </w:r>
    </w:p>
    <w:p w14:paraId="7E3DD3D4">
      <w:pPr>
        <w:spacing w:line="460" w:lineRule="exact"/>
        <w:jc w:val="left"/>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第5条  甲乙双方责任</w:t>
      </w:r>
    </w:p>
    <w:p w14:paraId="56670EDB">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lang w:eastAsia="zh-CN"/>
        </w:rPr>
        <w:t>1.</w:t>
      </w:r>
      <w:r>
        <w:rPr>
          <w:rFonts w:hint="eastAsia" w:ascii="仿宋_GB2312" w:hAnsi="仿宋_GB2312" w:eastAsia="仿宋_GB2312" w:cs="仿宋_GB2312"/>
          <w:sz w:val="28"/>
          <w:szCs w:val="28"/>
          <w:highlight w:val="none"/>
        </w:rPr>
        <w:t>乙方责任</w:t>
      </w:r>
      <w:r>
        <w:rPr>
          <w:rFonts w:hint="eastAsia" w:ascii="仿宋_GB2312" w:hAnsi="仿宋_GB2312" w:eastAsia="仿宋_GB2312" w:cs="仿宋_GB2312"/>
          <w:sz w:val="28"/>
          <w:szCs w:val="28"/>
          <w:highlight w:val="none"/>
          <w:lang w:eastAsia="zh-CN"/>
        </w:rPr>
        <w:t>、</w:t>
      </w:r>
      <w:r>
        <w:rPr>
          <w:rFonts w:hint="eastAsia" w:ascii="仿宋_GB2312" w:hAnsi="仿宋_GB2312" w:eastAsia="仿宋_GB2312" w:cs="仿宋_GB2312"/>
          <w:bCs/>
          <w:sz w:val="28"/>
          <w:szCs w:val="28"/>
          <w:highlight w:val="none"/>
        </w:rPr>
        <w:t>服务安全及文明作业</w:t>
      </w:r>
    </w:p>
    <w:p w14:paraId="7735A846">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1.1</w:t>
      </w:r>
      <w:r>
        <w:rPr>
          <w:rFonts w:hint="eastAsia" w:ascii="仿宋_GB2312" w:hAnsi="仿宋_GB2312" w:eastAsia="仿宋_GB2312" w:cs="仿宋_GB2312"/>
          <w:sz w:val="28"/>
          <w:szCs w:val="28"/>
          <w:highlight w:val="none"/>
          <w:lang w:val="en-US" w:eastAsia="zh-CN"/>
        </w:rPr>
        <w:t>乙方确保满足大厦对污水站运行的基本要求，保障污水处理量达标（</w:t>
      </w:r>
      <w:r>
        <w:rPr>
          <w:rFonts w:hint="eastAsia" w:ascii="仿宋_GB2312" w:hAnsi="仿宋_GB2312" w:eastAsia="仿宋_GB2312" w:cs="仿宋_GB2312"/>
          <w:sz w:val="28"/>
          <w:szCs w:val="28"/>
          <w:highlight w:val="none"/>
          <w:vertAlign w:val="baseline"/>
          <w:lang w:val="en-US" w:eastAsia="zh-CN"/>
        </w:rPr>
        <w:t>60m³/d）</w:t>
      </w:r>
    </w:p>
    <w:p w14:paraId="6B4870C3">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rPr>
        <w:t>每</w:t>
      </w:r>
      <w:r>
        <w:rPr>
          <w:rFonts w:hint="eastAsia" w:ascii="仿宋_GB2312" w:hAnsi="仿宋_GB2312" w:eastAsia="仿宋_GB2312" w:cs="仿宋_GB2312"/>
          <w:sz w:val="28"/>
          <w:szCs w:val="28"/>
          <w:highlight w:val="none"/>
          <w:lang w:val="en-US" w:eastAsia="zh-CN"/>
        </w:rPr>
        <w:t>周不少于2</w:t>
      </w:r>
      <w:r>
        <w:rPr>
          <w:rFonts w:hint="eastAsia" w:ascii="仿宋_GB2312" w:hAnsi="仿宋_GB2312" w:eastAsia="仿宋_GB2312" w:cs="仿宋_GB2312"/>
          <w:sz w:val="28"/>
          <w:szCs w:val="28"/>
          <w:highlight w:val="none"/>
        </w:rPr>
        <w:t>次定期到场检查</w:t>
      </w:r>
      <w:r>
        <w:rPr>
          <w:rFonts w:hint="eastAsia" w:ascii="仿宋_GB2312" w:hAnsi="仿宋_GB2312" w:eastAsia="仿宋_GB2312" w:cs="仿宋_GB2312"/>
          <w:sz w:val="28"/>
          <w:szCs w:val="28"/>
          <w:highlight w:val="none"/>
          <w:lang w:val="en-US" w:eastAsia="zh-CN"/>
        </w:rPr>
        <w:t>污水处理</w:t>
      </w:r>
      <w:r>
        <w:rPr>
          <w:rFonts w:hint="eastAsia" w:ascii="仿宋_GB2312" w:hAnsi="仿宋_GB2312" w:eastAsia="仿宋_GB2312" w:cs="仿宋_GB2312"/>
          <w:sz w:val="28"/>
          <w:szCs w:val="28"/>
          <w:highlight w:val="none"/>
        </w:rPr>
        <w:t>设备的运行情况并形成记录</w:t>
      </w:r>
      <w:r>
        <w:rPr>
          <w:rFonts w:hint="eastAsia" w:ascii="仿宋_GB2312" w:hAnsi="仿宋_GB2312" w:eastAsia="仿宋_GB2312" w:cs="仿宋_GB2312"/>
          <w:sz w:val="28"/>
          <w:szCs w:val="28"/>
          <w:highlight w:val="none"/>
          <w:lang w:val="en-US" w:eastAsia="zh-CN"/>
        </w:rPr>
        <w:t>由甲方确认签字；</w:t>
      </w:r>
    </w:p>
    <w:p w14:paraId="5E35464B">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lang w:val="en-US" w:eastAsia="zh-CN"/>
        </w:rPr>
        <w:t>1.2定期对MBR膜进行清洗，并定期进行水质监测，调整加药量及出水量；每周对水质进行监测观察以及每次在线和离线洗膜后进行水质检测；</w:t>
      </w:r>
    </w:p>
    <w:p w14:paraId="5CA749B6">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sz w:val="28"/>
          <w:szCs w:val="28"/>
          <w:highlight w:val="none"/>
          <w:lang w:val="en-US" w:eastAsia="zh-CN"/>
        </w:rPr>
        <w:t>1.3乙方定期对污水处理设备检查维护保养要求如下：</w:t>
      </w:r>
    </w:p>
    <w:p w14:paraId="0A7FADB4">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b/>
          <w:bCs/>
          <w:sz w:val="28"/>
          <w:szCs w:val="28"/>
          <w:highlight w:val="none"/>
          <w:lang w:val="en-US" w:eastAsia="zh-CN"/>
        </w:rPr>
        <w:t>整体外观检查：</w:t>
      </w:r>
      <w:r>
        <w:rPr>
          <w:rFonts w:hint="eastAsia" w:ascii="仿宋_GB2312" w:hAnsi="仿宋_GB2312" w:eastAsia="仿宋_GB2312" w:cs="仿宋_GB2312"/>
          <w:sz w:val="28"/>
          <w:szCs w:val="28"/>
          <w:highlight w:val="none"/>
          <w:lang w:val="en-US" w:eastAsia="zh-CN"/>
        </w:rPr>
        <w:t>各类标识、制度是否齐全，开关、照明、插座是否正常，室内排风是否正常，工具材料是否摆放整齐无杂乱，地面卫生是否干净整洁，箱体及爬梯是否牢固、腐蚀、掉漆，门、锁是否正常开关，室内井盖是否腐蚀及安装牢固等；</w:t>
      </w:r>
    </w:p>
    <w:p w14:paraId="168AD4DC">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b/>
          <w:bCs/>
          <w:sz w:val="28"/>
          <w:szCs w:val="28"/>
          <w:highlight w:val="none"/>
          <w:lang w:val="en-US" w:eastAsia="zh-CN"/>
        </w:rPr>
        <w:t>电气巡检：</w:t>
      </w:r>
      <w:r>
        <w:rPr>
          <w:rFonts w:hint="eastAsia" w:ascii="仿宋_GB2312" w:hAnsi="仿宋_GB2312" w:eastAsia="仿宋_GB2312" w:cs="仿宋_GB2312"/>
          <w:sz w:val="28"/>
          <w:szCs w:val="28"/>
          <w:highlight w:val="none"/>
          <w:lang w:val="en-US" w:eastAsia="zh-CN"/>
        </w:rPr>
        <w:t>柜体及柜内是否干净、无灰尘，各标识是否清晰、无缺失，PCL屏幕显示是否正常、触摸是否灵敏，开关、漏电保护器、接触器、接线端子等动作是否灵敏、功能是否正常、螺丝是否紧固，各线路有无破损、漏电情况、是否整齐、无裸露；</w:t>
      </w:r>
    </w:p>
    <w:p w14:paraId="649C9092">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b/>
          <w:bCs/>
          <w:sz w:val="28"/>
          <w:szCs w:val="28"/>
          <w:highlight w:val="none"/>
          <w:lang w:val="en-US" w:eastAsia="zh-CN"/>
        </w:rPr>
        <w:t>调节池：</w:t>
      </w:r>
      <w:r>
        <w:rPr>
          <w:rFonts w:hint="eastAsia" w:ascii="仿宋_GB2312" w:hAnsi="仿宋_GB2312" w:eastAsia="仿宋_GB2312" w:cs="仿宋_GB2312"/>
          <w:sz w:val="28"/>
          <w:szCs w:val="28"/>
          <w:highlight w:val="none"/>
          <w:lang w:val="en-US" w:eastAsia="zh-CN"/>
        </w:rPr>
        <w:t>观察集水池内是否有大的漂浮物、水位是否正常，液位计是否正常工作并记录液位，提升泵运转声音有无异响，有无大的振动，出水量是否正常，提升管道是否漏水，观察进水水质情况（进水颜色异常、气味重、泡沫过多等）。</w:t>
      </w:r>
    </w:p>
    <w:p w14:paraId="301B604A">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b/>
          <w:bCs/>
          <w:sz w:val="28"/>
          <w:szCs w:val="28"/>
          <w:highlight w:val="none"/>
          <w:lang w:val="en-US" w:eastAsia="zh-CN"/>
        </w:rPr>
        <w:t>生化池：</w:t>
      </w:r>
      <w:r>
        <w:rPr>
          <w:rFonts w:hint="eastAsia" w:ascii="仿宋_GB2312" w:hAnsi="仿宋_GB2312" w:eastAsia="仿宋_GB2312" w:cs="仿宋_GB2312"/>
          <w:sz w:val="28"/>
          <w:szCs w:val="28"/>
          <w:highlight w:val="none"/>
          <w:lang w:val="en-US" w:eastAsia="zh-CN"/>
        </w:rPr>
        <w:t>污泥颜色、浓度、形状（正常污泥呈黄褐色的絮绒颗粒状），有无大量泡沫出现、曝气是否均匀，有无大的漂浮杂物及大块污泥漂浮于池内。</w:t>
      </w:r>
    </w:p>
    <w:p w14:paraId="563C9C50">
      <w:pPr>
        <w:spacing w:line="460" w:lineRule="exact"/>
        <w:jc w:val="left"/>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b/>
          <w:bCs/>
          <w:sz w:val="28"/>
          <w:szCs w:val="28"/>
          <w:highlight w:val="none"/>
          <w:lang w:val="en-US" w:eastAsia="zh-CN"/>
        </w:rPr>
        <w:t>自吸泵：</w:t>
      </w:r>
      <w:r>
        <w:rPr>
          <w:rFonts w:hint="eastAsia" w:ascii="仿宋_GB2312" w:hAnsi="仿宋_GB2312" w:eastAsia="仿宋_GB2312" w:cs="仿宋_GB2312"/>
          <w:sz w:val="28"/>
          <w:szCs w:val="28"/>
          <w:highlight w:val="none"/>
          <w:lang w:val="en-US" w:eastAsia="zh-CN"/>
        </w:rPr>
        <w:t>外观完好、无灰尘，有无异响、螺栓是否松动，压力表显示是否正常、指针有无松动或脱落，自吸泵球阀、止回阀是否有效，法兰垫是否破损、有无漏点；</w:t>
      </w:r>
    </w:p>
    <w:p w14:paraId="6776D19D">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lang w:val="en-US" w:eastAsia="zh-CN"/>
        </w:rPr>
        <w:t xml:space="preserve"> </w:t>
      </w:r>
      <w:r>
        <w:rPr>
          <w:rFonts w:hint="eastAsia" w:ascii="仿宋_GB2312" w:hAnsi="仿宋_GB2312" w:eastAsia="仿宋_GB2312" w:cs="仿宋_GB2312"/>
          <w:b/>
          <w:bCs/>
          <w:sz w:val="28"/>
          <w:szCs w:val="28"/>
          <w:highlight w:val="none"/>
          <w:lang w:val="en-US" w:eastAsia="zh-CN"/>
        </w:rPr>
        <w:t>MBR膜池：</w:t>
      </w:r>
      <w:r>
        <w:rPr>
          <w:rFonts w:hint="eastAsia" w:ascii="仿宋_GB2312" w:hAnsi="仿宋_GB2312" w:eastAsia="仿宋_GB2312" w:cs="仿宋_GB2312"/>
          <w:sz w:val="28"/>
          <w:szCs w:val="28"/>
          <w:highlight w:val="none"/>
          <w:lang w:val="en-US" w:eastAsia="zh-CN"/>
        </w:rPr>
        <w:t>液位浮球控制是否灵敏，线路有无漏电、设定位置是否正常；液位水位是否在规定值内，观察曝气是否均匀，观察污水情况，观察提升泵是否正常；</w:t>
      </w:r>
    </w:p>
    <w:p w14:paraId="26EA2330">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4</w:t>
      </w:r>
      <w:r>
        <w:rPr>
          <w:rFonts w:hint="eastAsia" w:ascii="仿宋_GB2312" w:hAnsi="仿宋_GB2312" w:eastAsia="仿宋_GB2312" w:cs="仿宋_GB2312"/>
          <w:sz w:val="28"/>
          <w:szCs w:val="28"/>
          <w:highlight w:val="none"/>
        </w:rPr>
        <w:t>定期进行</w:t>
      </w:r>
      <w:r>
        <w:rPr>
          <w:rFonts w:hint="eastAsia" w:ascii="仿宋_GB2312" w:hAnsi="仿宋_GB2312" w:eastAsia="仿宋_GB2312" w:cs="仿宋_GB2312"/>
          <w:sz w:val="28"/>
          <w:szCs w:val="28"/>
          <w:highlight w:val="none"/>
          <w:lang w:val="en-US" w:eastAsia="zh-CN"/>
        </w:rPr>
        <w:t>污水处理设备的</w:t>
      </w:r>
      <w:r>
        <w:rPr>
          <w:rFonts w:hint="eastAsia" w:ascii="仿宋_GB2312" w:hAnsi="仿宋_GB2312" w:eastAsia="仿宋_GB2312" w:cs="仿宋_GB2312"/>
          <w:sz w:val="28"/>
          <w:szCs w:val="28"/>
          <w:highlight w:val="none"/>
        </w:rPr>
        <w:t>维修保养有关工作范围及检查内容详见附件一项目需求书；</w:t>
      </w:r>
    </w:p>
    <w:p w14:paraId="603BB6C0">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5污水处理</w:t>
      </w:r>
      <w:r>
        <w:rPr>
          <w:rFonts w:hint="eastAsia" w:ascii="仿宋_GB2312" w:hAnsi="仿宋_GB2312" w:eastAsia="仿宋_GB2312" w:cs="仿宋_GB2312"/>
          <w:sz w:val="28"/>
          <w:szCs w:val="28"/>
          <w:highlight w:val="none"/>
        </w:rPr>
        <w:t>设备经检查、维修、保养后，确保设备运行正常；</w:t>
      </w:r>
    </w:p>
    <w:p w14:paraId="624E0046">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6污水处理</w:t>
      </w:r>
      <w:r>
        <w:rPr>
          <w:rFonts w:hint="eastAsia" w:ascii="仿宋_GB2312" w:hAnsi="仿宋_GB2312" w:eastAsia="仿宋_GB2312" w:cs="仿宋_GB2312"/>
          <w:sz w:val="28"/>
          <w:szCs w:val="28"/>
          <w:highlight w:val="none"/>
        </w:rPr>
        <w:t>设备发生故障时，乙方在接到甲方通知后以最快的速度（4小时之内）派遣技术人员赶赴现场处理并排除故障恢复电话交换机设备正常运转；</w:t>
      </w:r>
    </w:p>
    <w:p w14:paraId="4E127CEF">
      <w:pPr>
        <w:spacing w:line="460" w:lineRule="exact"/>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7</w:t>
      </w:r>
      <w:r>
        <w:rPr>
          <w:rFonts w:hint="eastAsia" w:ascii="仿宋_GB2312" w:hAnsi="仿宋_GB2312" w:eastAsia="仿宋_GB2312" w:cs="仿宋_GB2312"/>
          <w:sz w:val="28"/>
          <w:szCs w:val="28"/>
          <w:highlight w:val="none"/>
        </w:rPr>
        <w:t>维保合同内包含1000元以内的零部件由维保方免费提供；</w:t>
      </w:r>
    </w:p>
    <w:p w14:paraId="0DC6FE7C">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8</w:t>
      </w:r>
      <w:r>
        <w:rPr>
          <w:rFonts w:hint="eastAsia" w:ascii="仿宋_GB2312" w:hAnsi="仿宋_GB2312" w:eastAsia="仿宋_GB2312" w:cs="仿宋_GB2312"/>
          <w:sz w:val="28"/>
          <w:szCs w:val="28"/>
          <w:highlight w:val="none"/>
        </w:rPr>
        <w:t>合同履行期间乙方要依法、合法地维保作业，严格遵守国家的法律法规；遵守国家安全技术规范要求，制定、执行完善的安全措施，保证维保作业安全。</w:t>
      </w:r>
    </w:p>
    <w:p w14:paraId="68FE8A35">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9</w:t>
      </w:r>
      <w:r>
        <w:rPr>
          <w:rFonts w:hint="eastAsia" w:ascii="仿宋_GB2312" w:hAnsi="仿宋_GB2312" w:eastAsia="仿宋_GB2312" w:cs="仿宋_GB2312"/>
          <w:sz w:val="28"/>
          <w:szCs w:val="28"/>
          <w:highlight w:val="none"/>
        </w:rPr>
        <w:t>须遵守</w:t>
      </w:r>
      <w:r>
        <w:rPr>
          <w:rFonts w:hint="eastAsia" w:ascii="仿宋_GB2312" w:hAnsi="仿宋_GB2312" w:eastAsia="仿宋_GB2312" w:cs="仿宋_GB2312"/>
          <w:sz w:val="28"/>
          <w:szCs w:val="28"/>
          <w:highlight w:val="none"/>
          <w:lang w:val="en-US" w:eastAsia="zh-CN"/>
        </w:rPr>
        <w:t>污水处理设备</w:t>
      </w:r>
      <w:r>
        <w:rPr>
          <w:rFonts w:hint="eastAsia" w:ascii="仿宋_GB2312" w:hAnsi="仿宋_GB2312" w:eastAsia="仿宋_GB2312" w:cs="仿宋_GB2312"/>
          <w:sz w:val="28"/>
          <w:szCs w:val="28"/>
          <w:highlight w:val="none"/>
        </w:rPr>
        <w:t>维保作业现场安全生产管理相关规定、各项规章制度等；严格按安全生产标准组织维保作业，并随时接受甲方实施的监督检查。</w:t>
      </w:r>
    </w:p>
    <w:p w14:paraId="0597F1A3">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10</w:t>
      </w:r>
      <w:r>
        <w:rPr>
          <w:rFonts w:hint="eastAsia" w:ascii="仿宋_GB2312" w:hAnsi="仿宋_GB2312" w:eastAsia="仿宋_GB2312" w:cs="仿宋_GB2312"/>
          <w:sz w:val="28"/>
          <w:szCs w:val="28"/>
          <w:highlight w:val="none"/>
        </w:rPr>
        <w:t>乙方进场前须向甲方提交作业人员工伤保险的证明材料或意外保险单材料、乙方现场作业人员的花名册及有效身份证复印件。乙方及人员应持证上岗，无操作证人员严禁操作。</w:t>
      </w:r>
    </w:p>
    <w:p w14:paraId="7708BEA5">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w:t>
      </w:r>
      <w:r>
        <w:rPr>
          <w:rFonts w:hint="eastAsia" w:ascii="仿宋_GB2312" w:hAnsi="仿宋_GB2312" w:eastAsia="仿宋_GB2312" w:cs="仿宋_GB2312"/>
          <w:sz w:val="28"/>
          <w:szCs w:val="28"/>
          <w:highlight w:val="none"/>
          <w:lang w:val="en-US" w:eastAsia="zh-CN"/>
        </w:rPr>
        <w:t>11</w:t>
      </w:r>
      <w:r>
        <w:rPr>
          <w:rFonts w:hint="eastAsia" w:ascii="仿宋_GB2312" w:hAnsi="仿宋_GB2312" w:eastAsia="仿宋_GB2312" w:cs="仿宋_GB2312"/>
          <w:sz w:val="28"/>
          <w:szCs w:val="28"/>
          <w:highlight w:val="none"/>
        </w:rPr>
        <w:t>作业中，乙方应采取有效的防护措施，消除安全隐患；乙方对自己所使用的材料、器具、设备等进行妥善保管，材料、器具、设备等物品的堆放，应符合国家有关安全施工管理之规定。</w:t>
      </w:r>
    </w:p>
    <w:p w14:paraId="180F0208">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w:t>
      </w:r>
      <w:r>
        <w:rPr>
          <w:rFonts w:hint="eastAsia" w:ascii="仿宋_GB2312" w:hAnsi="仿宋_GB2312" w:eastAsia="仿宋_GB2312" w:cs="仿宋_GB2312"/>
          <w:sz w:val="28"/>
          <w:szCs w:val="28"/>
          <w:highlight w:val="none"/>
          <w:lang w:val="en-US" w:eastAsia="zh-CN"/>
        </w:rPr>
        <w:t>2</w:t>
      </w:r>
      <w:r>
        <w:rPr>
          <w:rFonts w:hint="eastAsia" w:ascii="仿宋_GB2312" w:hAnsi="仿宋_GB2312" w:eastAsia="仿宋_GB2312" w:cs="仿宋_GB2312"/>
          <w:sz w:val="28"/>
          <w:szCs w:val="28"/>
          <w:highlight w:val="none"/>
        </w:rPr>
        <w:t>乙方在维保作业过程中，严禁违反安全操作规程，确保维保安全作业；如乙方违规作业，应立即整改，否则产生的一切责任，包括但不限于安全事故（含造成第三方人身、财产损失）、工伤等，均由乙方负责并承担由此造成的一切损失。</w:t>
      </w:r>
    </w:p>
    <w:p w14:paraId="413C506A">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w:t>
      </w:r>
      <w:r>
        <w:rPr>
          <w:rFonts w:hint="eastAsia" w:ascii="仿宋_GB2312" w:hAnsi="仿宋_GB2312" w:eastAsia="仿宋_GB2312" w:cs="仿宋_GB2312"/>
          <w:sz w:val="28"/>
          <w:szCs w:val="28"/>
          <w:highlight w:val="none"/>
          <w:lang w:val="en-US" w:eastAsia="zh-CN"/>
        </w:rPr>
        <w:t>3</w:t>
      </w:r>
      <w:r>
        <w:rPr>
          <w:rFonts w:hint="eastAsia" w:ascii="仿宋_GB2312" w:hAnsi="仿宋_GB2312" w:eastAsia="仿宋_GB2312" w:cs="仿宋_GB2312"/>
          <w:sz w:val="28"/>
          <w:szCs w:val="28"/>
          <w:highlight w:val="none"/>
        </w:rPr>
        <w:t>乙方应做好现场成品、半成品保护，采取必要的安全施工、防护措施，消除事故隐患，否则由乙方负责返修并承担由此发生的相关费用。</w:t>
      </w:r>
    </w:p>
    <w:p w14:paraId="3D094FA5">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w:t>
      </w:r>
      <w:r>
        <w:rPr>
          <w:rFonts w:hint="eastAsia" w:ascii="仿宋_GB2312" w:hAnsi="仿宋_GB2312" w:eastAsia="仿宋_GB2312" w:cs="仿宋_GB2312"/>
          <w:sz w:val="28"/>
          <w:szCs w:val="28"/>
          <w:highlight w:val="none"/>
          <w:lang w:val="en-US" w:eastAsia="zh-CN"/>
        </w:rPr>
        <w:t>4</w:t>
      </w:r>
      <w:r>
        <w:rPr>
          <w:rFonts w:hint="eastAsia" w:ascii="仿宋_GB2312" w:hAnsi="仿宋_GB2312" w:eastAsia="仿宋_GB2312" w:cs="仿宋_GB2312"/>
          <w:sz w:val="28"/>
          <w:szCs w:val="28"/>
          <w:highlight w:val="none"/>
        </w:rPr>
        <w:t>乙方应保障作业现场清洁符合有关规定，及时将项目作业现场及周围垃圾及时清理干净，运出作业现场，否则应承担因违反有关规定造成的损失和罚款。</w:t>
      </w:r>
    </w:p>
    <w:p w14:paraId="16B1B4B9">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w:t>
      </w:r>
      <w:r>
        <w:rPr>
          <w:rFonts w:hint="eastAsia" w:ascii="仿宋_GB2312" w:hAnsi="仿宋_GB2312" w:eastAsia="仿宋_GB2312" w:cs="仿宋_GB2312"/>
          <w:sz w:val="28"/>
          <w:szCs w:val="28"/>
          <w:highlight w:val="none"/>
          <w:lang w:val="en-US" w:eastAsia="zh-CN"/>
        </w:rPr>
        <w:t>5</w:t>
      </w:r>
      <w:r>
        <w:rPr>
          <w:rFonts w:hint="eastAsia" w:ascii="仿宋_GB2312" w:hAnsi="仿宋_GB2312" w:eastAsia="仿宋_GB2312" w:cs="仿宋_GB2312"/>
          <w:sz w:val="28"/>
          <w:szCs w:val="28"/>
          <w:highlight w:val="none"/>
        </w:rPr>
        <w:t>乙方应根据甲乙双方签订的</w:t>
      </w:r>
      <w:r>
        <w:rPr>
          <w:rFonts w:hint="eastAsia" w:ascii="仿宋_GB2312" w:hAnsi="仿宋_GB2312" w:eastAsia="仿宋_GB2312" w:cs="仿宋_GB2312"/>
          <w:sz w:val="28"/>
          <w:szCs w:val="28"/>
          <w:highlight w:val="none"/>
          <w:lang w:eastAsia="zh-CN"/>
        </w:rPr>
        <w:t>《中纺大厦B2层污水处理设备维护维修保养合同安全管理协议》（以下简称“安全管理协议”）</w:t>
      </w:r>
      <w:r>
        <w:rPr>
          <w:rFonts w:hint="eastAsia" w:ascii="仿宋_GB2312" w:hAnsi="仿宋_GB2312" w:eastAsia="仿宋_GB2312" w:cs="仿宋_GB2312"/>
          <w:sz w:val="28"/>
          <w:szCs w:val="28"/>
          <w:highlight w:val="none"/>
        </w:rPr>
        <w:t>约定加强现场安全作业管理，严格执行甲方、环境、消防等有关部门对作业现场的管理规定，做到文明施工，并承担</w:t>
      </w:r>
      <w:r>
        <w:rPr>
          <w:rFonts w:hint="eastAsia" w:ascii="仿宋_GB2312" w:hAnsi="仿宋_GB2312" w:eastAsia="仿宋_GB2312" w:cs="仿宋_GB2312"/>
          <w:sz w:val="28"/>
          <w:szCs w:val="28"/>
          <w:highlight w:val="none"/>
          <w:lang w:eastAsia="zh-CN"/>
        </w:rPr>
        <w:t>由</w:t>
      </w:r>
      <w:r>
        <w:rPr>
          <w:rFonts w:hint="eastAsia" w:ascii="仿宋_GB2312" w:hAnsi="仿宋_GB2312" w:eastAsia="仿宋_GB2312" w:cs="仿宋_GB2312"/>
          <w:sz w:val="28"/>
          <w:szCs w:val="28"/>
          <w:highlight w:val="none"/>
        </w:rPr>
        <w:t>乙方责任造成的各项损失及违约金赔偿。</w:t>
      </w:r>
    </w:p>
    <w:p w14:paraId="6AECEAF1">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w:t>
      </w:r>
      <w:r>
        <w:rPr>
          <w:rFonts w:hint="eastAsia" w:ascii="仿宋_GB2312" w:hAnsi="仿宋_GB2312" w:eastAsia="仿宋_GB2312" w:cs="仿宋_GB2312"/>
          <w:sz w:val="28"/>
          <w:szCs w:val="28"/>
          <w:highlight w:val="none"/>
          <w:lang w:val="en-US" w:eastAsia="zh-CN"/>
        </w:rPr>
        <w:t>6</w:t>
      </w:r>
      <w:r>
        <w:rPr>
          <w:rFonts w:hint="eastAsia" w:ascii="仿宋_GB2312" w:hAnsi="仿宋_GB2312" w:eastAsia="仿宋_GB2312" w:cs="仿宋_GB2312"/>
          <w:sz w:val="28"/>
          <w:szCs w:val="28"/>
          <w:highlight w:val="none"/>
        </w:rPr>
        <w:t>提供所有进场人员县级以上医院的体检报告（不得早于合同签订之日一年），体检报告内容至少应包括血压检查、心电图检查（其他体检项不限）。提供入场人员的近半年参保记录或给其缴纳的第三方责任险（赔付额度不低于当地死亡事故赔偿额度）；进场人员男年龄不得超过60岁、女不得超过55岁，超出此年龄者不得进场开工；配合甲方填报《承包商管理系统》。</w:t>
      </w:r>
    </w:p>
    <w:p w14:paraId="3F0E7728">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2.下列项目不属于乙方责任范围之内</w:t>
      </w:r>
    </w:p>
    <w:p w14:paraId="22E6D80B">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2.1非乙方原因不正当的安装、故意或过失造成的故障。</w:t>
      </w:r>
    </w:p>
    <w:p w14:paraId="1B099401">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2.2没有按照乙方的指示而进行的操作、修理、改造或使用指定以外的部件而产生的损伤及故障。</w:t>
      </w:r>
    </w:p>
    <w:p w14:paraId="1B670058">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2.3由于甲方设备更换、移位等影响电话设备使用的行为而发生的故障。</w:t>
      </w:r>
    </w:p>
    <w:p w14:paraId="6A39EED1">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2.4不可抗拒因素造成的事故。</w:t>
      </w:r>
    </w:p>
    <w:p w14:paraId="18D2DB12">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2.5非因乙方原因导致的合同范围以外的其他突发性故障、损害发生时，乙方须紧急进行修理，费用由甲方承担（不包括在合同费用中）。</w:t>
      </w:r>
    </w:p>
    <w:p w14:paraId="3A6837D1">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3.甲方责任</w:t>
      </w:r>
    </w:p>
    <w:p w14:paraId="25BAD0B3">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3.1甲方须给乙方人员的工作提供方便（如：办理出入手续等）。</w:t>
      </w:r>
    </w:p>
    <w:p w14:paraId="33DF6ABD">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3.2甲方无偿向乙方提供作业必需的电、水等。</w:t>
      </w:r>
    </w:p>
    <w:p w14:paraId="6169953C">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3.3甲方应支付合同金额中不含的必要费用，如 ：超出1000元以上的零部件、材料费等。如发生合同中不包含的费用时应提前书面通知甲方，经甲方书面认可后方可进行下一步工作。</w:t>
      </w:r>
    </w:p>
    <w:p w14:paraId="74EC2A2B">
      <w:pPr>
        <w:spacing w:line="360" w:lineRule="auto"/>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3.4在合同期内，设备的设置场所若有变更，甲方要事先书面通知乙方。</w:t>
      </w:r>
    </w:p>
    <w:p w14:paraId="2500D57A">
      <w:pPr>
        <w:spacing w:line="360" w:lineRule="auto"/>
        <w:jc w:val="left"/>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第6条  现场验收</w:t>
      </w:r>
    </w:p>
    <w:p w14:paraId="0048BA94">
      <w:pPr>
        <w:spacing w:line="360" w:lineRule="auto"/>
        <w:ind w:firstLine="560" w:firstLineChars="200"/>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乙方在每次完成</w:t>
      </w:r>
      <w:r>
        <w:rPr>
          <w:rFonts w:hint="eastAsia" w:ascii="仿宋_GB2312" w:hAnsi="仿宋_GB2312" w:eastAsia="仿宋_GB2312" w:cs="仿宋_GB2312"/>
          <w:sz w:val="28"/>
          <w:szCs w:val="28"/>
          <w:highlight w:val="none"/>
          <w:lang w:val="en-US" w:eastAsia="zh-CN"/>
        </w:rPr>
        <w:t>污水处理</w:t>
      </w:r>
      <w:r>
        <w:rPr>
          <w:rFonts w:hint="eastAsia" w:ascii="仿宋_GB2312" w:hAnsi="仿宋_GB2312" w:eastAsia="仿宋_GB2312" w:cs="仿宋_GB2312"/>
          <w:sz w:val="28"/>
          <w:szCs w:val="28"/>
          <w:highlight w:val="none"/>
        </w:rPr>
        <w:t>设备的巡视检查及维修保养之后，甲方均进行现场验收，并签署维保单或巡检单。</w:t>
      </w:r>
    </w:p>
    <w:p w14:paraId="4EE074EA">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第7条  合同终止、违约责任</w:t>
      </w:r>
    </w:p>
    <w:p w14:paraId="74FA787A">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1.1如甲方未按合同约定支付乙方相应的款项，则每延迟一日，按未支付金额的万分之五向乙方支付违约金。</w:t>
      </w:r>
    </w:p>
    <w:p w14:paraId="1AEB79C5">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1.2乙方应严格按照合同约定项目定期进行项目维保作业，如因乙方原因导致未按期完成维保作业的，每少1次应</w:t>
      </w:r>
      <w:r>
        <w:rPr>
          <w:rFonts w:hint="eastAsia" w:ascii="仿宋_GB2312" w:hAnsi="仿宋_GB2312" w:eastAsia="仿宋_GB2312" w:cs="仿宋_GB2312"/>
          <w:sz w:val="28"/>
          <w:szCs w:val="28"/>
          <w:highlight w:val="none"/>
          <w:lang w:val="en-US" w:eastAsia="zh-CN"/>
        </w:rPr>
        <w:t>按照竞价报价单中具体相关项目据实结算</w:t>
      </w:r>
      <w:r>
        <w:rPr>
          <w:rFonts w:hint="eastAsia" w:ascii="仿宋_GB2312" w:hAnsi="仿宋_GB2312" w:eastAsia="仿宋_GB2312" w:cs="仿宋_GB2312"/>
          <w:sz w:val="28"/>
          <w:szCs w:val="28"/>
          <w:highlight w:val="none"/>
        </w:rPr>
        <w:t>相应维保费用以及按照合同金额的百分之五向甲方支付违约金。</w:t>
      </w:r>
    </w:p>
    <w:p w14:paraId="39FEE083">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1.3如乙方违反安全管理协议约定的，应根据安全管理协议约定承担违约责任并支付违约金，如乙方未在期限内支付违约金的，甲方有权在合同总价款中双倍抵扣。</w:t>
      </w:r>
    </w:p>
    <w:p w14:paraId="5092B791">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1.4乙方违反本合同或安全管理协议约定的，甲方有权单方解除合同且无需承担违约责任。因乙方的违约行为，除承担违约责任外，对甲方造成的损失，亦由乙方负责赔偿。</w:t>
      </w:r>
    </w:p>
    <w:p w14:paraId="247F0C08">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第8条  保密条款</w:t>
      </w:r>
    </w:p>
    <w:p w14:paraId="732155B5">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 乙方应对在履行本合同中知悉的甲方资料、信息（包括但不限于企业信息、商业秘密、技术资料、数据，以及其他信息等）负保密责任，无论该等信息是否明示为保密信息。非经甲方书面同意，不得用于本合同以外目的使用，且不得向任何第三方透露和使用，根据法律规定应当披露的除外。</w:t>
      </w:r>
    </w:p>
    <w:p w14:paraId="0AAD96D8">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 本保密条款具有独立性，不受合同的终止或解除的影响。</w:t>
      </w:r>
    </w:p>
    <w:p w14:paraId="3158F603">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第9条  免责条款</w:t>
      </w:r>
    </w:p>
    <w:p w14:paraId="6BA164D1">
      <w:pPr>
        <w:spacing w:line="360" w:lineRule="auto"/>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由于不能预见、不能避免和不能克服的自然原因或社会原因，致使本合同不能履行或者不能完全履行时，遇到上述不可抗力事件的一方，应立即书面通知合同其他方，由合同各方按事件对履行合同的影响程度协商决定是否解除合同，或者部分或全部免除履行合同的责任，或者延期履行合同。</w:t>
      </w:r>
    </w:p>
    <w:p w14:paraId="30CADB3C">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第10条  法律适用</w:t>
      </w:r>
    </w:p>
    <w:p w14:paraId="0F994BB9">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对本合同的订立、履行、解释、效力和争议的解决均适用中华人民共和国法律。</w:t>
      </w:r>
    </w:p>
    <w:p w14:paraId="54A720D1">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第11条  争议与解决</w:t>
      </w:r>
    </w:p>
    <w:p w14:paraId="34CA72DF">
      <w:pPr>
        <w:spacing w:line="360" w:lineRule="auto"/>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因履行本合同所产生的或与本合同有关的任何争议，双方应友好协商解决。协商不成的，双方同意将争议提交甲方所在地有管辖权的法院诉讼解决。</w:t>
      </w:r>
    </w:p>
    <w:p w14:paraId="3C03F6EC">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 xml:space="preserve">第12条  </w:t>
      </w:r>
      <w:r>
        <w:rPr>
          <w:rFonts w:hint="eastAsia" w:ascii="仿宋_GB2312" w:hAnsi="仿宋_GB2312" w:eastAsia="仿宋_GB2312" w:cs="仿宋_GB2312"/>
          <w:b/>
          <w:sz w:val="28"/>
          <w:szCs w:val="28"/>
          <w:highlight w:val="none"/>
          <w:lang w:eastAsia="zh-CN"/>
        </w:rPr>
        <w:t>其他</w:t>
      </w:r>
    </w:p>
    <w:p w14:paraId="38ED14A9">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 若甲方需在本合同约定的标的或工作量以外委托乙方完成一定的工作量，应以补充协议的形式约定，否则甲方不予结算。</w:t>
      </w:r>
    </w:p>
    <w:p w14:paraId="796E4866">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1.2本合同如有未尽事宜，经双方友好协商，另签补充协议。补充协议与本合同具有同等法律效力。</w:t>
      </w:r>
    </w:p>
    <w:p w14:paraId="2DD7AB5A">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第13条  合同生效</w:t>
      </w:r>
    </w:p>
    <w:p w14:paraId="77DB913E">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本合同自双方盖章之日起生效。</w:t>
      </w:r>
    </w:p>
    <w:p w14:paraId="36EF2464">
      <w:pPr>
        <w:spacing w:line="360" w:lineRule="auto"/>
        <w:rPr>
          <w:rFonts w:hint="eastAsia" w:ascii="仿宋_GB2312" w:hAnsi="仿宋_GB2312" w:eastAsia="仿宋_GB2312" w:cs="仿宋_GB2312"/>
          <w:b/>
          <w:sz w:val="28"/>
          <w:szCs w:val="28"/>
          <w:highlight w:val="none"/>
        </w:rPr>
      </w:pPr>
      <w:r>
        <w:rPr>
          <w:rFonts w:hint="eastAsia" w:ascii="仿宋_GB2312" w:hAnsi="仿宋_GB2312" w:eastAsia="仿宋_GB2312" w:cs="仿宋_GB2312"/>
          <w:b/>
          <w:sz w:val="28"/>
          <w:szCs w:val="28"/>
          <w:highlight w:val="none"/>
        </w:rPr>
        <w:t>第14条  合同份数</w:t>
      </w:r>
    </w:p>
    <w:p w14:paraId="5C6CA197">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本合同正本一式肆份，甲乙双方各执贰份，具有同等法律效力。</w:t>
      </w:r>
    </w:p>
    <w:p w14:paraId="377EE31D">
      <w:pPr>
        <w:spacing w:line="360" w:lineRule="auto"/>
        <w:rPr>
          <w:rFonts w:hint="eastAsia" w:ascii="仿宋_GB2312" w:hAnsi="仿宋_GB2312" w:eastAsia="仿宋_GB2312" w:cs="仿宋_GB2312"/>
          <w:sz w:val="28"/>
          <w:szCs w:val="28"/>
          <w:highlight w:val="none"/>
        </w:rPr>
      </w:pPr>
    </w:p>
    <w:p w14:paraId="641EACC0">
      <w:pPr>
        <w:jc w:val="both"/>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附件：1</w:t>
      </w:r>
      <w:r>
        <w:rPr>
          <w:rFonts w:hint="eastAsia" w:ascii="仿宋_GB2312" w:hAnsi="仿宋_GB2312" w:eastAsia="仿宋_GB2312" w:cs="仿宋_GB2312"/>
          <w:sz w:val="28"/>
          <w:szCs w:val="28"/>
          <w:highlight w:val="none"/>
          <w:lang w:val="en-US" w:eastAsia="zh-CN"/>
        </w:rPr>
        <w:t>.</w:t>
      </w:r>
      <w:r>
        <w:rPr>
          <w:rFonts w:hint="eastAsia" w:ascii="仿宋_GB2312" w:hAnsi="仿宋_GB2312" w:eastAsia="仿宋_GB2312" w:cs="仿宋_GB2312"/>
          <w:b w:val="0"/>
          <w:bCs w:val="0"/>
          <w:sz w:val="28"/>
          <w:szCs w:val="28"/>
          <w:highlight w:val="none"/>
        </w:rPr>
        <w:t>《2026年度中纺大厦B2层污水处理设备维护维修保养</w:t>
      </w:r>
      <w:r>
        <w:rPr>
          <w:rFonts w:hint="eastAsia" w:ascii="仿宋_GB2312" w:hAnsi="仿宋_GB2312" w:eastAsia="仿宋_GB2312" w:cs="仿宋_GB2312"/>
          <w:b w:val="0"/>
          <w:bCs w:val="0"/>
          <w:sz w:val="28"/>
          <w:szCs w:val="28"/>
          <w:highlight w:val="none"/>
          <w:lang w:val="en-US" w:eastAsia="zh-CN"/>
        </w:rPr>
        <w:t>项目需求书</w:t>
      </w:r>
      <w:r>
        <w:rPr>
          <w:rFonts w:hint="eastAsia" w:ascii="仿宋_GB2312" w:hAnsi="仿宋_GB2312" w:eastAsia="仿宋_GB2312" w:cs="仿宋_GB2312"/>
          <w:b w:val="0"/>
          <w:bCs w:val="0"/>
          <w:sz w:val="28"/>
          <w:szCs w:val="28"/>
          <w:highlight w:val="none"/>
        </w:rPr>
        <w:t>》</w:t>
      </w:r>
    </w:p>
    <w:p w14:paraId="2F673ED0">
      <w:pPr>
        <w:spacing w:after="12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 xml:space="preserve">      </w:t>
      </w:r>
      <w:r>
        <w:rPr>
          <w:rFonts w:hint="eastAsia" w:ascii="仿宋_GB2312" w:hAnsi="仿宋_GB2312" w:eastAsia="仿宋_GB2312" w:cs="仿宋_GB2312"/>
          <w:sz w:val="28"/>
          <w:szCs w:val="28"/>
          <w:highlight w:val="none"/>
          <w:lang w:eastAsia="zh-CN"/>
        </w:rPr>
        <w:t>2.</w:t>
      </w:r>
      <w:r>
        <w:rPr>
          <w:rFonts w:hint="eastAsia" w:ascii="仿宋_GB2312" w:hAnsi="仿宋_GB2312" w:eastAsia="仿宋_GB2312" w:cs="仿宋_GB2312"/>
          <w:sz w:val="28"/>
          <w:szCs w:val="28"/>
          <w:highlight w:val="none"/>
        </w:rPr>
        <w:t>《安全管理协议》</w:t>
      </w:r>
    </w:p>
    <w:p w14:paraId="13ECA124">
      <w:pPr>
        <w:spacing w:line="360" w:lineRule="auto"/>
        <w:rPr>
          <w:rFonts w:hint="eastAsia" w:ascii="仿宋_GB2312" w:hAnsi="仿宋_GB2312" w:eastAsia="仿宋_GB2312" w:cs="仿宋_GB2312"/>
          <w:sz w:val="28"/>
          <w:szCs w:val="28"/>
          <w:highlight w:val="none"/>
        </w:rPr>
      </w:pPr>
    </w:p>
    <w:p w14:paraId="24357250">
      <w:pPr>
        <w:spacing w:line="360" w:lineRule="auto"/>
        <w:rPr>
          <w:rFonts w:hint="eastAsia" w:ascii="仿宋_GB2312" w:hAnsi="仿宋_GB2312" w:eastAsia="仿宋_GB2312" w:cs="仿宋_GB2312"/>
          <w:color w:val="000000"/>
          <w:sz w:val="28"/>
          <w:szCs w:val="28"/>
          <w:highlight w:val="none"/>
          <w:lang w:eastAsia="zh-Hans"/>
        </w:rPr>
      </w:pPr>
      <w:r>
        <w:rPr>
          <w:rFonts w:hint="eastAsia" w:ascii="仿宋_GB2312" w:hAnsi="仿宋_GB2312" w:eastAsia="仿宋_GB2312" w:cs="仿宋_GB2312"/>
          <w:sz w:val="28"/>
          <w:szCs w:val="28"/>
          <w:highlight w:val="none"/>
        </w:rPr>
        <w:t xml:space="preserve">甲方（盖章）：  </w:t>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color w:val="000000"/>
          <w:sz w:val="28"/>
          <w:szCs w:val="28"/>
          <w:highlight w:val="none"/>
        </w:rPr>
        <w:t xml:space="preserve">乙方（盖章）： </w:t>
      </w:r>
    </w:p>
    <w:p w14:paraId="29BCD5C7">
      <w:pPr>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联系人：</w:t>
      </w:r>
      <w:r>
        <w:rPr>
          <w:rFonts w:hint="eastAsia" w:ascii="仿宋_GB2312" w:hAnsi="仿宋_GB2312" w:eastAsia="仿宋_GB2312" w:cs="仿宋_GB2312"/>
          <w:color w:val="000000"/>
          <w:sz w:val="28"/>
          <w:szCs w:val="28"/>
          <w:highlight w:val="none"/>
          <w:lang w:val="en-US" w:eastAsia="zh-CN"/>
        </w:rPr>
        <w:t>安景章</w:t>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 xml:space="preserve">联系人： </w:t>
      </w:r>
    </w:p>
    <w:p w14:paraId="2A8BEE2C">
      <w:pPr>
        <w:spacing w:line="360" w:lineRule="auto"/>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联系人电话：</w:t>
      </w:r>
      <w:r>
        <w:rPr>
          <w:rFonts w:hint="eastAsia" w:ascii="仿宋_GB2312" w:hAnsi="仿宋_GB2312" w:eastAsia="仿宋_GB2312" w:cs="仿宋_GB2312"/>
          <w:color w:val="000000"/>
          <w:sz w:val="28"/>
          <w:szCs w:val="28"/>
          <w:highlight w:val="none"/>
          <w:lang w:val="en-US" w:eastAsia="zh-CN"/>
        </w:rPr>
        <w:t>15910739136</w:t>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联系人电话：</w:t>
      </w:r>
    </w:p>
    <w:p w14:paraId="05F6D27D">
      <w:pPr>
        <w:spacing w:line="360" w:lineRule="auto"/>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联系人邮箱：</w:t>
      </w:r>
      <w:r>
        <w:rPr>
          <w:rFonts w:hint="eastAsia" w:ascii="仿宋_GB2312" w:hAnsi="仿宋_GB2312" w:eastAsia="仿宋_GB2312" w:cs="仿宋_GB2312"/>
          <w:color w:val="000000"/>
          <w:sz w:val="28"/>
          <w:szCs w:val="28"/>
          <w:highlight w:val="none"/>
          <w:lang w:val="en-US" w:eastAsia="zh-CN"/>
        </w:rPr>
        <w:t>beijinganjingzhang@126.com</w:t>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联系人邮箱：</w:t>
      </w:r>
    </w:p>
    <w:p w14:paraId="0C310D9A">
      <w:pPr>
        <w:spacing w:line="360" w:lineRule="auto"/>
        <w:ind w:left="1260" w:hanging="1260"/>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联系地址：</w:t>
      </w:r>
      <w:r>
        <w:rPr>
          <w:rFonts w:hint="eastAsia" w:ascii="仿宋_GB2312" w:hAnsi="仿宋_GB2312" w:eastAsia="仿宋_GB2312" w:cs="仿宋_GB2312"/>
          <w:color w:val="000000"/>
          <w:sz w:val="28"/>
          <w:szCs w:val="28"/>
          <w:highlight w:val="none"/>
          <w:lang w:val="en-US" w:eastAsia="zh-CN"/>
        </w:rPr>
        <w:t>北京市东城区建国门内大街19号</w:t>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联系地址：</w:t>
      </w:r>
    </w:p>
    <w:p w14:paraId="308CACE0">
      <w:pPr>
        <w:spacing w:line="360" w:lineRule="auto"/>
        <w:ind w:left="1260" w:hanging="1260"/>
        <w:rPr>
          <w:rFonts w:hint="eastAsia" w:ascii="仿宋_GB2312" w:hAnsi="仿宋_GB2312" w:eastAsia="仿宋_GB2312" w:cs="仿宋_GB2312"/>
          <w:color w:val="000000"/>
          <w:sz w:val="28"/>
          <w:szCs w:val="28"/>
          <w:highlight w:val="none"/>
        </w:rPr>
      </w:pP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r>
        <w:rPr>
          <w:rFonts w:hint="eastAsia" w:ascii="仿宋_GB2312" w:hAnsi="仿宋_GB2312" w:eastAsia="仿宋_GB2312" w:cs="仿宋_GB2312"/>
          <w:color w:val="000000"/>
          <w:sz w:val="28"/>
          <w:szCs w:val="28"/>
          <w:highlight w:val="none"/>
        </w:rPr>
        <w:tab/>
      </w:r>
    </w:p>
    <w:p w14:paraId="3B5DAB49">
      <w:pPr>
        <w:spacing w:line="360" w:lineRule="auto"/>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 xml:space="preserve">年  月  日                       </w:t>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sz w:val="28"/>
          <w:szCs w:val="28"/>
          <w:highlight w:val="none"/>
        </w:rPr>
        <w:tab/>
      </w:r>
      <w:r>
        <w:rPr>
          <w:rFonts w:hint="eastAsia" w:ascii="仿宋_GB2312" w:hAnsi="仿宋_GB2312" w:eastAsia="仿宋_GB2312" w:cs="仿宋_GB2312"/>
          <w:color w:val="000000"/>
          <w:sz w:val="28"/>
          <w:szCs w:val="28"/>
          <w:highlight w:val="none"/>
        </w:rPr>
        <w:t xml:space="preserve">年  月  日 </w:t>
      </w:r>
    </w:p>
    <w:p w14:paraId="0F62AABB">
      <w:pPr>
        <w:widowControl/>
        <w:tabs>
          <w:tab w:val="left" w:pos="8010"/>
        </w:tabs>
        <w:spacing w:line="360" w:lineRule="auto"/>
        <w:rPr>
          <w:rFonts w:hint="eastAsia" w:ascii="仿宋_GB2312" w:hAnsi="仿宋_GB2312" w:eastAsia="仿宋_GB2312" w:cs="仿宋_GB2312"/>
          <w:color w:val="000000"/>
          <w:sz w:val="28"/>
          <w:szCs w:val="28"/>
          <w:highlight w:val="none"/>
        </w:rPr>
      </w:pPr>
    </w:p>
    <w:p w14:paraId="5DED47D8">
      <w:pPr>
        <w:widowControl/>
        <w:tabs>
          <w:tab w:val="left" w:pos="8010"/>
        </w:tabs>
        <w:spacing w:line="360" w:lineRule="auto"/>
        <w:rPr>
          <w:rFonts w:hint="eastAsia" w:ascii="仿宋_GB2312" w:hAnsi="仿宋_GB2312" w:eastAsia="仿宋_GB2312" w:cs="仿宋_GB2312"/>
          <w:color w:val="000000"/>
          <w:sz w:val="28"/>
          <w:szCs w:val="28"/>
          <w:highlight w:val="none"/>
        </w:rPr>
      </w:pPr>
    </w:p>
    <w:p w14:paraId="6D2FEEC7">
      <w:pPr>
        <w:widowControl/>
        <w:tabs>
          <w:tab w:val="left" w:pos="8010"/>
        </w:tabs>
        <w:spacing w:line="360" w:lineRule="auto"/>
        <w:rPr>
          <w:rFonts w:hint="eastAsia" w:ascii="仿宋_GB2312" w:hAnsi="仿宋_GB2312" w:eastAsia="仿宋_GB2312" w:cs="仿宋_GB2312"/>
          <w:color w:val="000000"/>
          <w:sz w:val="28"/>
          <w:szCs w:val="28"/>
          <w:highlight w:val="none"/>
        </w:rPr>
      </w:pPr>
    </w:p>
    <w:p w14:paraId="220D3C9D">
      <w:pPr>
        <w:widowControl/>
        <w:tabs>
          <w:tab w:val="left" w:pos="8010"/>
        </w:tabs>
        <w:spacing w:line="360" w:lineRule="auto"/>
        <w:rPr>
          <w:rFonts w:hint="eastAsia" w:ascii="仿宋_GB2312" w:hAnsi="仿宋_GB2312" w:eastAsia="仿宋_GB2312" w:cs="仿宋_GB2312"/>
          <w:color w:val="000000"/>
          <w:sz w:val="28"/>
          <w:szCs w:val="28"/>
          <w:highlight w:val="none"/>
        </w:rPr>
      </w:pPr>
    </w:p>
    <w:p w14:paraId="2BE5C534">
      <w:pPr>
        <w:widowControl/>
        <w:tabs>
          <w:tab w:val="left" w:pos="8010"/>
        </w:tabs>
        <w:spacing w:line="360" w:lineRule="auto"/>
        <w:rPr>
          <w:rFonts w:hint="eastAsia" w:ascii="仿宋_GB2312" w:hAnsi="仿宋_GB2312" w:eastAsia="仿宋_GB2312" w:cs="仿宋_GB2312"/>
          <w:color w:val="000000"/>
          <w:sz w:val="28"/>
          <w:szCs w:val="28"/>
          <w:highlight w:val="none"/>
        </w:rPr>
      </w:pPr>
    </w:p>
    <w:p w14:paraId="583A776A">
      <w:pPr>
        <w:widowControl/>
        <w:tabs>
          <w:tab w:val="left" w:pos="8010"/>
        </w:tabs>
        <w:spacing w:line="360" w:lineRule="auto"/>
        <w:rPr>
          <w:rFonts w:hint="eastAsia" w:ascii="仿宋_GB2312" w:hAnsi="仿宋_GB2312" w:eastAsia="仿宋_GB2312" w:cs="仿宋_GB2312"/>
          <w:color w:val="000000"/>
          <w:sz w:val="28"/>
          <w:szCs w:val="28"/>
          <w:highlight w:val="none"/>
        </w:rPr>
      </w:pPr>
    </w:p>
    <w:p w14:paraId="601E34A4">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附件一</w:t>
      </w:r>
    </w:p>
    <w:p w14:paraId="14FF1A33">
      <w:pPr>
        <w:jc w:val="center"/>
        <w:rPr>
          <w:rFonts w:hint="eastAsia" w:ascii="仿宋_GB2312" w:hAnsi="仿宋_GB2312" w:eastAsia="仿宋_GB2312" w:cs="仿宋_GB2312"/>
          <w:b w:val="0"/>
          <w:bCs w:val="0"/>
          <w:sz w:val="28"/>
          <w:szCs w:val="28"/>
          <w:highlight w:val="none"/>
        </w:rPr>
      </w:pPr>
      <w:r>
        <w:rPr>
          <w:rFonts w:hint="eastAsia" w:ascii="仿宋_GB2312" w:hAnsi="仿宋_GB2312" w:eastAsia="仿宋_GB2312" w:cs="仿宋_GB2312"/>
          <w:b w:val="0"/>
          <w:bCs w:val="0"/>
          <w:sz w:val="28"/>
          <w:szCs w:val="28"/>
          <w:highlight w:val="none"/>
        </w:rPr>
        <w:t>2026年度中纺大厦B2层污水处理设备维护维修保养</w:t>
      </w:r>
    </w:p>
    <w:p w14:paraId="2979E0EF">
      <w:pPr>
        <w:jc w:val="center"/>
        <w:rPr>
          <w:rFonts w:hint="eastAsia" w:ascii="仿宋_GB2312" w:hAnsi="仿宋_GB2312" w:eastAsia="仿宋_GB2312" w:cs="仿宋_GB2312"/>
          <w:sz w:val="28"/>
          <w:szCs w:val="28"/>
          <w:highlight w:val="none"/>
          <w:lang w:val="en-US" w:eastAsia="zh-CN"/>
        </w:rPr>
      </w:pPr>
      <w:r>
        <w:rPr>
          <w:rFonts w:hint="eastAsia" w:ascii="仿宋_GB2312" w:hAnsi="仿宋_GB2312" w:eastAsia="仿宋_GB2312" w:cs="仿宋_GB2312"/>
          <w:b w:val="0"/>
          <w:bCs w:val="0"/>
          <w:sz w:val="28"/>
          <w:szCs w:val="28"/>
          <w:highlight w:val="none"/>
          <w:lang w:val="en-US" w:eastAsia="zh-CN"/>
        </w:rPr>
        <w:t>项目需求书</w:t>
      </w:r>
    </w:p>
    <w:tbl>
      <w:tblPr>
        <w:tblStyle w:val="14"/>
        <w:tblW w:w="9435" w:type="dxa"/>
        <w:tblInd w:w="31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25"/>
        <w:gridCol w:w="1285"/>
        <w:gridCol w:w="1050"/>
        <w:gridCol w:w="855"/>
        <w:gridCol w:w="590"/>
        <w:gridCol w:w="2260"/>
        <w:gridCol w:w="575"/>
        <w:gridCol w:w="595"/>
        <w:gridCol w:w="1320"/>
      </w:tblGrid>
      <w:tr w14:paraId="0807D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5" w:type="dxa"/>
            <w:gridSpan w:val="10"/>
            <w:noWrap w:val="0"/>
            <w:vAlign w:val="top"/>
          </w:tcPr>
          <w:p w14:paraId="5EE986C3">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简介：中纺大厦污水处理设备1套（聘请第三方公司安装），处理量为60m³/d</w:t>
            </w:r>
          </w:p>
          <w:p w14:paraId="2D67502B">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位置：中纺大厦B2层污水处理设备房内</w:t>
            </w:r>
          </w:p>
          <w:p w14:paraId="2783F736">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启用日期：2023年11月</w:t>
            </w:r>
          </w:p>
          <w:p w14:paraId="5741DEA8">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年度维保周期：壹年  2026.1.1日起至2026.12.31日止</w:t>
            </w:r>
          </w:p>
          <w:p w14:paraId="21CE3F48">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年度维保费用：不超于10万元/年</w:t>
            </w:r>
          </w:p>
        </w:tc>
      </w:tr>
      <w:tr w14:paraId="64518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35" w:type="dxa"/>
            <w:gridSpan w:val="10"/>
            <w:noWrap w:val="0"/>
            <w:vAlign w:val="top"/>
          </w:tcPr>
          <w:p w14:paraId="4FEB3317">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88415" cy="966470"/>
                  <wp:effectExtent l="0" t="0" r="6985" b="5080"/>
                  <wp:docPr id="13" name="图片 5" descr="d406824472edf4f29f8ed8729ae13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5" descr="d406824472edf4f29f8ed8729ae13e6"/>
                          <pic:cNvPicPr>
                            <a:picLocks noChangeAspect="1"/>
                          </pic:cNvPicPr>
                        </pic:nvPicPr>
                        <pic:blipFill>
                          <a:blip r:embed="rId12"/>
                          <a:stretch>
                            <a:fillRect/>
                          </a:stretch>
                        </pic:blipFill>
                        <pic:spPr>
                          <a:xfrm>
                            <a:off x="0" y="0"/>
                            <a:ext cx="1288415" cy="966470"/>
                          </a:xfrm>
                          <a:prstGeom prst="rect">
                            <a:avLst/>
                          </a:prstGeom>
                          <a:noFill/>
                          <a:ln>
                            <a:noFill/>
                          </a:ln>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92860" cy="969645"/>
                  <wp:effectExtent l="0" t="0" r="2540" b="1905"/>
                  <wp:docPr id="16" name="图片 6" descr="ed435e622cc0e9013cd0c2abe6d9b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descr="ed435e622cc0e9013cd0c2abe6d9b94"/>
                          <pic:cNvPicPr>
                            <a:picLocks noChangeAspect="1"/>
                          </pic:cNvPicPr>
                        </pic:nvPicPr>
                        <pic:blipFill>
                          <a:blip r:embed="rId13"/>
                          <a:stretch>
                            <a:fillRect/>
                          </a:stretch>
                        </pic:blipFill>
                        <pic:spPr>
                          <a:xfrm>
                            <a:off x="0" y="0"/>
                            <a:ext cx="1292860" cy="969645"/>
                          </a:xfrm>
                          <a:prstGeom prst="rect">
                            <a:avLst/>
                          </a:prstGeom>
                          <a:noFill/>
                          <a:ln>
                            <a:noFill/>
                          </a:ln>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283970" cy="963295"/>
                  <wp:effectExtent l="0" t="0" r="11430" b="8255"/>
                  <wp:docPr id="17" name="图片 7" descr="ee0a244e8be5f7966f09dacce1502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descr="ee0a244e8be5f7966f09dacce1502a6"/>
                          <pic:cNvPicPr>
                            <a:picLocks noChangeAspect="1"/>
                          </pic:cNvPicPr>
                        </pic:nvPicPr>
                        <pic:blipFill>
                          <a:blip r:embed="rId14"/>
                          <a:stretch>
                            <a:fillRect/>
                          </a:stretch>
                        </pic:blipFill>
                        <pic:spPr>
                          <a:xfrm>
                            <a:off x="0" y="0"/>
                            <a:ext cx="1283970" cy="963295"/>
                          </a:xfrm>
                          <a:prstGeom prst="rect">
                            <a:avLst/>
                          </a:prstGeom>
                          <a:noFill/>
                          <a:ln>
                            <a:noFill/>
                          </a:ln>
                        </pic:spPr>
                      </pic:pic>
                    </a:graphicData>
                  </a:graphic>
                </wp:inline>
              </w:drawing>
            </w:r>
            <w:r>
              <w:rPr>
                <w:rFonts w:hint="eastAsia" w:ascii="仿宋_GB2312" w:hAnsi="仿宋_GB2312" w:eastAsia="仿宋_GB2312" w:cs="仿宋_GB2312"/>
                <w:sz w:val="28"/>
                <w:szCs w:val="28"/>
                <w:highlight w:val="none"/>
                <w:vertAlign w:val="baseline"/>
                <w:lang w:val="en-US" w:eastAsia="zh-CN"/>
              </w:rPr>
              <w:t xml:space="preserve"> </w:t>
            </w:r>
            <w:r>
              <w:rPr>
                <w:rFonts w:hint="eastAsia" w:ascii="仿宋_GB2312" w:hAnsi="仿宋_GB2312" w:eastAsia="仿宋_GB2312" w:cs="仿宋_GB2312"/>
                <w:sz w:val="28"/>
                <w:szCs w:val="28"/>
                <w:highlight w:val="none"/>
                <w:vertAlign w:val="baseline"/>
                <w:lang w:val="en-US" w:eastAsia="zh-CN"/>
              </w:rPr>
              <w:drawing>
                <wp:inline distT="0" distB="0" distL="114300" distR="114300">
                  <wp:extent cx="1318895" cy="989330"/>
                  <wp:effectExtent l="0" t="0" r="14605" b="1270"/>
                  <wp:docPr id="11" name="图片 8" descr="af75beeb2f24c5c4ea9afa730be8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af75beeb2f24c5c4ea9afa730be8445"/>
                          <pic:cNvPicPr>
                            <a:picLocks noChangeAspect="1"/>
                          </pic:cNvPicPr>
                        </pic:nvPicPr>
                        <pic:blipFill>
                          <a:blip r:embed="rId15"/>
                          <a:stretch>
                            <a:fillRect/>
                          </a:stretch>
                        </pic:blipFill>
                        <pic:spPr>
                          <a:xfrm>
                            <a:off x="0" y="0"/>
                            <a:ext cx="1318895" cy="989330"/>
                          </a:xfrm>
                          <a:prstGeom prst="rect">
                            <a:avLst/>
                          </a:prstGeom>
                          <a:noFill/>
                          <a:ln>
                            <a:noFill/>
                          </a:ln>
                        </pic:spPr>
                      </pic:pic>
                    </a:graphicData>
                  </a:graphic>
                </wp:inline>
              </w:drawing>
            </w:r>
          </w:p>
        </w:tc>
      </w:tr>
      <w:tr w14:paraId="06A298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trPr>
        <w:tc>
          <w:tcPr>
            <w:tcW w:w="780" w:type="dxa"/>
            <w:noWrap w:val="0"/>
            <w:vAlign w:val="top"/>
          </w:tcPr>
          <w:p w14:paraId="47ED09F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序号</w:t>
            </w:r>
          </w:p>
        </w:tc>
        <w:tc>
          <w:tcPr>
            <w:tcW w:w="1410" w:type="dxa"/>
            <w:gridSpan w:val="2"/>
            <w:noWrap w:val="0"/>
            <w:vAlign w:val="top"/>
          </w:tcPr>
          <w:p w14:paraId="465DF4C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项目</w:t>
            </w:r>
          </w:p>
        </w:tc>
        <w:tc>
          <w:tcPr>
            <w:tcW w:w="1050" w:type="dxa"/>
            <w:noWrap w:val="0"/>
            <w:vAlign w:val="top"/>
          </w:tcPr>
          <w:p w14:paraId="400ABFA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频次</w:t>
            </w:r>
          </w:p>
        </w:tc>
        <w:tc>
          <w:tcPr>
            <w:tcW w:w="855" w:type="dxa"/>
            <w:noWrap w:val="0"/>
            <w:vAlign w:val="top"/>
          </w:tcPr>
          <w:p w14:paraId="75A2181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次/年</w:t>
            </w:r>
          </w:p>
        </w:tc>
        <w:tc>
          <w:tcPr>
            <w:tcW w:w="2850" w:type="dxa"/>
            <w:gridSpan w:val="2"/>
            <w:noWrap w:val="0"/>
            <w:vAlign w:val="top"/>
          </w:tcPr>
          <w:p w14:paraId="279EBD0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备注</w:t>
            </w:r>
          </w:p>
        </w:tc>
        <w:tc>
          <w:tcPr>
            <w:tcW w:w="1170" w:type="dxa"/>
            <w:gridSpan w:val="2"/>
            <w:noWrap w:val="0"/>
            <w:vAlign w:val="top"/>
          </w:tcPr>
          <w:p w14:paraId="14249A1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单价</w:t>
            </w:r>
          </w:p>
        </w:tc>
        <w:tc>
          <w:tcPr>
            <w:tcW w:w="1320" w:type="dxa"/>
            <w:noWrap w:val="0"/>
            <w:vAlign w:val="top"/>
          </w:tcPr>
          <w:p w14:paraId="2E09BCD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合计</w:t>
            </w:r>
          </w:p>
        </w:tc>
      </w:tr>
      <w:tr w14:paraId="263394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502C25A6">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1410" w:type="dxa"/>
            <w:gridSpan w:val="2"/>
            <w:noWrap w:val="0"/>
            <w:vAlign w:val="top"/>
          </w:tcPr>
          <w:p w14:paraId="0286A3A6">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日常水质检测</w:t>
            </w:r>
          </w:p>
        </w:tc>
        <w:tc>
          <w:tcPr>
            <w:tcW w:w="1050" w:type="dxa"/>
            <w:noWrap w:val="0"/>
            <w:vAlign w:val="top"/>
          </w:tcPr>
          <w:p w14:paraId="3A2549A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6次/年</w:t>
            </w:r>
          </w:p>
        </w:tc>
        <w:tc>
          <w:tcPr>
            <w:tcW w:w="855" w:type="dxa"/>
            <w:noWrap w:val="0"/>
            <w:vAlign w:val="top"/>
          </w:tcPr>
          <w:p w14:paraId="08C5270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2850" w:type="dxa"/>
            <w:gridSpan w:val="2"/>
            <w:noWrap w:val="0"/>
            <w:vAlign w:val="top"/>
          </w:tcPr>
          <w:p w14:paraId="516CD89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根据离线和在线膜清洗次数进行监督检测（每次检测提供2份报告）</w:t>
            </w:r>
          </w:p>
        </w:tc>
        <w:tc>
          <w:tcPr>
            <w:tcW w:w="1170" w:type="dxa"/>
            <w:gridSpan w:val="2"/>
            <w:noWrap w:val="0"/>
            <w:vAlign w:val="top"/>
          </w:tcPr>
          <w:p w14:paraId="1B9825E7">
            <w:pPr>
              <w:jc w:val="center"/>
              <w:rPr>
                <w:rFonts w:hint="eastAsia" w:ascii="仿宋_GB2312" w:hAnsi="仿宋_GB2312" w:eastAsia="仿宋_GB2312" w:cs="仿宋_GB2312"/>
                <w:sz w:val="28"/>
                <w:szCs w:val="28"/>
                <w:highlight w:val="none"/>
                <w:u w:val="single"/>
                <w:vertAlign w:val="baseline"/>
                <w:lang w:val="en-US" w:eastAsia="zh-CN"/>
              </w:rPr>
            </w:pPr>
          </w:p>
          <w:p w14:paraId="6109B1A7">
            <w:pPr>
              <w:jc w:val="center"/>
              <w:rPr>
                <w:rFonts w:hint="eastAsia" w:ascii="仿宋_GB2312" w:hAnsi="仿宋_GB2312" w:eastAsia="仿宋_GB2312" w:cs="仿宋_GB2312"/>
                <w:sz w:val="28"/>
                <w:szCs w:val="28"/>
                <w:highlight w:val="none"/>
                <w:u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53B455E6">
            <w:pPr>
              <w:jc w:val="center"/>
              <w:rPr>
                <w:rFonts w:hint="eastAsia" w:ascii="仿宋_GB2312" w:hAnsi="仿宋_GB2312" w:eastAsia="仿宋_GB2312" w:cs="仿宋_GB2312"/>
                <w:sz w:val="28"/>
                <w:szCs w:val="28"/>
                <w:highlight w:val="none"/>
                <w:u w:val="single"/>
                <w:vertAlign w:val="baseline"/>
                <w:lang w:val="en-US" w:eastAsia="zh-CN"/>
              </w:rPr>
            </w:pPr>
          </w:p>
          <w:p w14:paraId="47BED63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08B87E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29BAE3E9">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2</w:t>
            </w:r>
          </w:p>
        </w:tc>
        <w:tc>
          <w:tcPr>
            <w:tcW w:w="1410" w:type="dxa"/>
            <w:gridSpan w:val="2"/>
            <w:noWrap w:val="0"/>
            <w:vAlign w:val="top"/>
          </w:tcPr>
          <w:p w14:paraId="4F30D4DD">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第三方水质检测</w:t>
            </w:r>
          </w:p>
        </w:tc>
        <w:tc>
          <w:tcPr>
            <w:tcW w:w="1050" w:type="dxa"/>
            <w:noWrap w:val="0"/>
            <w:vAlign w:val="top"/>
          </w:tcPr>
          <w:p w14:paraId="39BFE96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4次/年</w:t>
            </w:r>
          </w:p>
        </w:tc>
        <w:tc>
          <w:tcPr>
            <w:tcW w:w="855" w:type="dxa"/>
            <w:noWrap w:val="0"/>
            <w:vAlign w:val="top"/>
          </w:tcPr>
          <w:p w14:paraId="1B00AC9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2850" w:type="dxa"/>
            <w:gridSpan w:val="2"/>
            <w:noWrap w:val="0"/>
            <w:vAlign w:val="top"/>
          </w:tcPr>
          <w:p w14:paraId="1441E05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CMA/CNAS检测/每季度1次（每次检测提供2份报告）</w:t>
            </w:r>
          </w:p>
        </w:tc>
        <w:tc>
          <w:tcPr>
            <w:tcW w:w="1170" w:type="dxa"/>
            <w:gridSpan w:val="2"/>
            <w:noWrap w:val="0"/>
            <w:vAlign w:val="top"/>
          </w:tcPr>
          <w:p w14:paraId="3821844D">
            <w:pPr>
              <w:jc w:val="center"/>
              <w:rPr>
                <w:rFonts w:hint="eastAsia" w:ascii="仿宋_GB2312" w:hAnsi="仿宋_GB2312" w:eastAsia="仿宋_GB2312" w:cs="仿宋_GB2312"/>
                <w:sz w:val="28"/>
                <w:szCs w:val="28"/>
                <w:highlight w:val="none"/>
                <w:u w:val="single"/>
                <w:vertAlign w:val="baseline"/>
                <w:lang w:val="en-US" w:eastAsia="zh-CN"/>
              </w:rPr>
            </w:pPr>
          </w:p>
          <w:p w14:paraId="58FFBAC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3ED35D13">
            <w:pPr>
              <w:jc w:val="center"/>
              <w:rPr>
                <w:rFonts w:hint="eastAsia" w:ascii="仿宋_GB2312" w:hAnsi="仿宋_GB2312" w:eastAsia="仿宋_GB2312" w:cs="仿宋_GB2312"/>
                <w:sz w:val="28"/>
                <w:szCs w:val="28"/>
                <w:highlight w:val="none"/>
                <w:u w:val="single"/>
                <w:vertAlign w:val="baseline"/>
                <w:lang w:val="en-US" w:eastAsia="zh-CN"/>
              </w:rPr>
            </w:pPr>
          </w:p>
          <w:p w14:paraId="79AF8B8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4C4454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6685FCAB">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3</w:t>
            </w:r>
          </w:p>
        </w:tc>
        <w:tc>
          <w:tcPr>
            <w:tcW w:w="1410" w:type="dxa"/>
            <w:gridSpan w:val="2"/>
            <w:vMerge w:val="restart"/>
            <w:noWrap w:val="0"/>
            <w:vAlign w:val="top"/>
          </w:tcPr>
          <w:p w14:paraId="20D35E6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膜清洗</w:t>
            </w:r>
          </w:p>
        </w:tc>
        <w:tc>
          <w:tcPr>
            <w:tcW w:w="1050" w:type="dxa"/>
            <w:noWrap w:val="0"/>
            <w:vAlign w:val="top"/>
          </w:tcPr>
          <w:p w14:paraId="753EB69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离线</w:t>
            </w:r>
          </w:p>
        </w:tc>
        <w:tc>
          <w:tcPr>
            <w:tcW w:w="855" w:type="dxa"/>
            <w:noWrap w:val="0"/>
            <w:vAlign w:val="top"/>
          </w:tcPr>
          <w:p w14:paraId="4F5E10E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2850" w:type="dxa"/>
            <w:gridSpan w:val="2"/>
            <w:noWrap w:val="0"/>
            <w:vAlign w:val="top"/>
          </w:tcPr>
          <w:p w14:paraId="74FE4DF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人工清洗每季度一次，涉及有限空间作业</w:t>
            </w:r>
          </w:p>
        </w:tc>
        <w:tc>
          <w:tcPr>
            <w:tcW w:w="1170" w:type="dxa"/>
            <w:gridSpan w:val="2"/>
            <w:noWrap w:val="0"/>
            <w:vAlign w:val="top"/>
          </w:tcPr>
          <w:p w14:paraId="0AC3B6F1">
            <w:pPr>
              <w:jc w:val="center"/>
              <w:rPr>
                <w:rFonts w:hint="eastAsia" w:ascii="仿宋_GB2312" w:hAnsi="仿宋_GB2312" w:eastAsia="仿宋_GB2312" w:cs="仿宋_GB2312"/>
                <w:sz w:val="28"/>
                <w:szCs w:val="28"/>
                <w:highlight w:val="none"/>
                <w:u w:val="single"/>
                <w:vertAlign w:val="baseline"/>
                <w:lang w:val="en-US" w:eastAsia="zh-CN"/>
              </w:rPr>
            </w:pPr>
          </w:p>
          <w:p w14:paraId="7328098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7F741401">
            <w:pPr>
              <w:jc w:val="center"/>
              <w:rPr>
                <w:rFonts w:hint="eastAsia" w:ascii="仿宋_GB2312" w:hAnsi="仿宋_GB2312" w:eastAsia="仿宋_GB2312" w:cs="仿宋_GB2312"/>
                <w:sz w:val="28"/>
                <w:szCs w:val="28"/>
                <w:highlight w:val="none"/>
                <w:u w:val="single"/>
                <w:vertAlign w:val="baseline"/>
                <w:lang w:val="en-US" w:eastAsia="zh-CN"/>
              </w:rPr>
            </w:pPr>
          </w:p>
          <w:p w14:paraId="024E2BD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60264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113136EF">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1410" w:type="dxa"/>
            <w:gridSpan w:val="2"/>
            <w:vMerge w:val="continue"/>
            <w:noWrap w:val="0"/>
            <w:vAlign w:val="top"/>
          </w:tcPr>
          <w:p w14:paraId="431DA28B">
            <w:pPr>
              <w:jc w:val="center"/>
              <w:rPr>
                <w:rFonts w:hint="eastAsia" w:ascii="仿宋_GB2312" w:hAnsi="仿宋_GB2312" w:eastAsia="仿宋_GB2312" w:cs="仿宋_GB2312"/>
                <w:sz w:val="28"/>
                <w:szCs w:val="28"/>
                <w:highlight w:val="none"/>
                <w:vertAlign w:val="baseline"/>
                <w:lang w:val="en-US" w:eastAsia="zh-CN"/>
              </w:rPr>
            </w:pPr>
          </w:p>
        </w:tc>
        <w:tc>
          <w:tcPr>
            <w:tcW w:w="1050" w:type="dxa"/>
            <w:noWrap w:val="0"/>
            <w:vAlign w:val="top"/>
          </w:tcPr>
          <w:p w14:paraId="2DED358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在线</w:t>
            </w:r>
          </w:p>
        </w:tc>
        <w:tc>
          <w:tcPr>
            <w:tcW w:w="855" w:type="dxa"/>
            <w:noWrap w:val="0"/>
            <w:vAlign w:val="top"/>
          </w:tcPr>
          <w:p w14:paraId="74CB5BA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2850" w:type="dxa"/>
            <w:gridSpan w:val="2"/>
            <w:noWrap w:val="0"/>
            <w:vAlign w:val="top"/>
          </w:tcPr>
          <w:p w14:paraId="5258B3AD">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每两个月一次，根据污水处理实际情况随时增加清洗频次（不增加费用）</w:t>
            </w:r>
          </w:p>
        </w:tc>
        <w:tc>
          <w:tcPr>
            <w:tcW w:w="1170" w:type="dxa"/>
            <w:gridSpan w:val="2"/>
            <w:noWrap w:val="0"/>
            <w:vAlign w:val="top"/>
          </w:tcPr>
          <w:p w14:paraId="622DF7F4">
            <w:pPr>
              <w:jc w:val="center"/>
              <w:rPr>
                <w:rFonts w:hint="eastAsia" w:ascii="仿宋_GB2312" w:hAnsi="仿宋_GB2312" w:eastAsia="仿宋_GB2312" w:cs="仿宋_GB2312"/>
                <w:sz w:val="28"/>
                <w:szCs w:val="28"/>
                <w:highlight w:val="none"/>
                <w:u w:val="single"/>
                <w:vertAlign w:val="baseline"/>
                <w:lang w:val="en-US" w:eastAsia="zh-CN"/>
              </w:rPr>
            </w:pPr>
          </w:p>
          <w:p w14:paraId="7DEE878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420D482D">
            <w:pPr>
              <w:jc w:val="center"/>
              <w:rPr>
                <w:rFonts w:hint="eastAsia" w:ascii="仿宋_GB2312" w:hAnsi="仿宋_GB2312" w:eastAsia="仿宋_GB2312" w:cs="仿宋_GB2312"/>
                <w:sz w:val="28"/>
                <w:szCs w:val="28"/>
                <w:highlight w:val="none"/>
                <w:u w:val="single"/>
                <w:vertAlign w:val="baseline"/>
                <w:lang w:val="en-US" w:eastAsia="zh-CN"/>
              </w:rPr>
            </w:pPr>
          </w:p>
          <w:p w14:paraId="743EDBD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5F8B6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6BF4ED9E">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w:t>
            </w:r>
          </w:p>
        </w:tc>
        <w:tc>
          <w:tcPr>
            <w:tcW w:w="1410" w:type="dxa"/>
            <w:gridSpan w:val="2"/>
            <w:noWrap w:val="0"/>
            <w:vAlign w:val="top"/>
          </w:tcPr>
          <w:p w14:paraId="05F2941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污水处理工艺系统设备的维护</w:t>
            </w:r>
          </w:p>
        </w:tc>
        <w:tc>
          <w:tcPr>
            <w:tcW w:w="1050" w:type="dxa"/>
            <w:noWrap w:val="0"/>
            <w:vAlign w:val="top"/>
          </w:tcPr>
          <w:p w14:paraId="5A5A62E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855" w:type="dxa"/>
            <w:noWrap w:val="0"/>
            <w:vAlign w:val="top"/>
          </w:tcPr>
          <w:p w14:paraId="7B1B699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2850" w:type="dxa"/>
            <w:gridSpan w:val="2"/>
            <w:noWrap w:val="0"/>
            <w:vAlign w:val="top"/>
          </w:tcPr>
          <w:p w14:paraId="2F21057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每周巡检2次（紧急维修接报后4小时内必须到现场进行处置），日常维护系统运行，记录相关数据，并对设备进行日常维护维修。单次1000元以下（含1000）损坏维修费用由乙方负责。</w:t>
            </w:r>
          </w:p>
        </w:tc>
        <w:tc>
          <w:tcPr>
            <w:tcW w:w="1170" w:type="dxa"/>
            <w:gridSpan w:val="2"/>
            <w:noWrap w:val="0"/>
            <w:vAlign w:val="top"/>
          </w:tcPr>
          <w:p w14:paraId="200210D2">
            <w:pPr>
              <w:jc w:val="both"/>
              <w:rPr>
                <w:rFonts w:hint="eastAsia" w:ascii="仿宋_GB2312" w:hAnsi="仿宋_GB2312" w:eastAsia="仿宋_GB2312" w:cs="仿宋_GB2312"/>
                <w:sz w:val="28"/>
                <w:szCs w:val="28"/>
                <w:highlight w:val="none"/>
                <w:u w:val="single"/>
                <w:vertAlign w:val="baseline"/>
                <w:lang w:val="en-US" w:eastAsia="zh-CN"/>
              </w:rPr>
            </w:pPr>
          </w:p>
          <w:p w14:paraId="2164EB0A">
            <w:pPr>
              <w:jc w:val="both"/>
              <w:rPr>
                <w:rFonts w:hint="eastAsia" w:ascii="仿宋_GB2312" w:hAnsi="仿宋_GB2312" w:eastAsia="仿宋_GB2312" w:cs="仿宋_GB2312"/>
                <w:sz w:val="28"/>
                <w:szCs w:val="28"/>
                <w:highlight w:val="none"/>
                <w:u w:val="single"/>
                <w:vertAlign w:val="baseline"/>
                <w:lang w:val="en-US" w:eastAsia="zh-CN"/>
              </w:rPr>
            </w:pPr>
          </w:p>
          <w:p w14:paraId="73D28FAA">
            <w:pPr>
              <w:jc w:val="both"/>
              <w:rPr>
                <w:rFonts w:hint="eastAsia" w:ascii="仿宋_GB2312" w:hAnsi="仿宋_GB2312" w:eastAsia="仿宋_GB2312" w:cs="仿宋_GB2312"/>
                <w:sz w:val="28"/>
                <w:szCs w:val="28"/>
                <w:highlight w:val="none"/>
                <w:u w:val="single"/>
                <w:vertAlign w:val="baseline"/>
                <w:lang w:val="en-US" w:eastAsia="zh-CN"/>
              </w:rPr>
            </w:pPr>
          </w:p>
          <w:p w14:paraId="3DC12B37">
            <w:pPr>
              <w:jc w:val="both"/>
              <w:rPr>
                <w:rFonts w:hint="eastAsia" w:ascii="仿宋_GB2312" w:hAnsi="仿宋_GB2312" w:eastAsia="仿宋_GB2312" w:cs="仿宋_GB2312"/>
                <w:sz w:val="28"/>
                <w:szCs w:val="28"/>
                <w:highlight w:val="none"/>
                <w:u w:val="single"/>
                <w:vertAlign w:val="baseline"/>
                <w:lang w:val="en-US" w:eastAsia="zh-CN"/>
              </w:rPr>
            </w:pPr>
          </w:p>
          <w:p w14:paraId="648D2E16">
            <w:pPr>
              <w:jc w:val="both"/>
              <w:rPr>
                <w:rFonts w:hint="eastAsia" w:ascii="仿宋_GB2312" w:hAnsi="仿宋_GB2312" w:eastAsia="仿宋_GB2312" w:cs="仿宋_GB2312"/>
                <w:sz w:val="28"/>
                <w:szCs w:val="28"/>
                <w:highlight w:val="none"/>
                <w:u w:val="single"/>
                <w:vertAlign w:val="baseline"/>
                <w:lang w:val="en-US" w:eastAsia="zh-CN"/>
              </w:rPr>
            </w:pPr>
          </w:p>
          <w:p w14:paraId="5C9D08AA">
            <w:pPr>
              <w:jc w:val="both"/>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1224CFE1">
            <w:pPr>
              <w:jc w:val="both"/>
              <w:rPr>
                <w:rFonts w:hint="eastAsia" w:ascii="仿宋_GB2312" w:hAnsi="仿宋_GB2312" w:eastAsia="仿宋_GB2312" w:cs="仿宋_GB2312"/>
                <w:sz w:val="28"/>
                <w:szCs w:val="28"/>
                <w:highlight w:val="none"/>
                <w:u w:val="single"/>
                <w:vertAlign w:val="baseline"/>
                <w:lang w:val="en-US" w:eastAsia="zh-CN"/>
              </w:rPr>
            </w:pPr>
          </w:p>
          <w:p w14:paraId="359EC45F">
            <w:pPr>
              <w:jc w:val="both"/>
              <w:rPr>
                <w:rFonts w:hint="eastAsia" w:ascii="仿宋_GB2312" w:hAnsi="仿宋_GB2312" w:eastAsia="仿宋_GB2312" w:cs="仿宋_GB2312"/>
                <w:sz w:val="28"/>
                <w:szCs w:val="28"/>
                <w:highlight w:val="none"/>
                <w:u w:val="single"/>
                <w:vertAlign w:val="baseline"/>
                <w:lang w:val="en-US" w:eastAsia="zh-CN"/>
              </w:rPr>
            </w:pPr>
          </w:p>
          <w:p w14:paraId="67E65267">
            <w:pPr>
              <w:jc w:val="both"/>
              <w:rPr>
                <w:rFonts w:hint="eastAsia" w:ascii="仿宋_GB2312" w:hAnsi="仿宋_GB2312" w:eastAsia="仿宋_GB2312" w:cs="仿宋_GB2312"/>
                <w:sz w:val="28"/>
                <w:szCs w:val="28"/>
                <w:highlight w:val="none"/>
                <w:u w:val="single"/>
                <w:vertAlign w:val="baseline"/>
                <w:lang w:val="en-US" w:eastAsia="zh-CN"/>
              </w:rPr>
            </w:pPr>
          </w:p>
          <w:p w14:paraId="22BF787F">
            <w:pPr>
              <w:jc w:val="both"/>
              <w:rPr>
                <w:rFonts w:hint="eastAsia" w:ascii="仿宋_GB2312" w:hAnsi="仿宋_GB2312" w:eastAsia="仿宋_GB2312" w:cs="仿宋_GB2312"/>
                <w:sz w:val="28"/>
                <w:szCs w:val="28"/>
                <w:highlight w:val="none"/>
                <w:u w:val="single"/>
                <w:vertAlign w:val="baseline"/>
                <w:lang w:val="en-US" w:eastAsia="zh-CN"/>
              </w:rPr>
            </w:pPr>
          </w:p>
          <w:p w14:paraId="2DF97C9F">
            <w:pPr>
              <w:jc w:val="both"/>
              <w:rPr>
                <w:rFonts w:hint="eastAsia" w:ascii="仿宋_GB2312" w:hAnsi="仿宋_GB2312" w:eastAsia="仿宋_GB2312" w:cs="仿宋_GB2312"/>
                <w:sz w:val="28"/>
                <w:szCs w:val="28"/>
                <w:highlight w:val="none"/>
                <w:u w:val="single"/>
                <w:vertAlign w:val="baseline"/>
                <w:lang w:val="en-US" w:eastAsia="zh-CN"/>
              </w:rPr>
            </w:pPr>
          </w:p>
          <w:p w14:paraId="2E426B70">
            <w:pPr>
              <w:jc w:val="both"/>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76675B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1BB38984">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1410" w:type="dxa"/>
            <w:gridSpan w:val="2"/>
            <w:noWrap w:val="0"/>
            <w:vAlign w:val="top"/>
          </w:tcPr>
          <w:p w14:paraId="3AA10CA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风机机油皮带更换</w:t>
            </w:r>
          </w:p>
        </w:tc>
        <w:tc>
          <w:tcPr>
            <w:tcW w:w="1050" w:type="dxa"/>
            <w:noWrap w:val="0"/>
            <w:vAlign w:val="top"/>
          </w:tcPr>
          <w:p w14:paraId="7C46732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1次/半年</w:t>
            </w:r>
          </w:p>
        </w:tc>
        <w:tc>
          <w:tcPr>
            <w:tcW w:w="855" w:type="dxa"/>
            <w:noWrap w:val="0"/>
            <w:vAlign w:val="top"/>
          </w:tcPr>
          <w:p w14:paraId="1C93206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2</w:t>
            </w:r>
          </w:p>
        </w:tc>
        <w:tc>
          <w:tcPr>
            <w:tcW w:w="2850" w:type="dxa"/>
            <w:gridSpan w:val="2"/>
            <w:noWrap w:val="0"/>
            <w:vAlign w:val="top"/>
          </w:tcPr>
          <w:p w14:paraId="020A794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根据使用情况随时更换（不再增加任何费用）</w:t>
            </w:r>
          </w:p>
        </w:tc>
        <w:tc>
          <w:tcPr>
            <w:tcW w:w="1170" w:type="dxa"/>
            <w:gridSpan w:val="2"/>
            <w:noWrap w:val="0"/>
            <w:vAlign w:val="top"/>
          </w:tcPr>
          <w:p w14:paraId="5AC3E72B">
            <w:pPr>
              <w:jc w:val="center"/>
              <w:rPr>
                <w:rFonts w:hint="eastAsia" w:ascii="仿宋_GB2312" w:hAnsi="仿宋_GB2312" w:eastAsia="仿宋_GB2312" w:cs="仿宋_GB2312"/>
                <w:sz w:val="28"/>
                <w:szCs w:val="28"/>
                <w:highlight w:val="none"/>
                <w:u w:val="single"/>
                <w:vertAlign w:val="baseline"/>
                <w:lang w:val="en-US" w:eastAsia="zh-CN"/>
              </w:rPr>
            </w:pPr>
          </w:p>
          <w:p w14:paraId="4410C247">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31796569">
            <w:pPr>
              <w:jc w:val="center"/>
              <w:rPr>
                <w:rFonts w:hint="eastAsia" w:ascii="仿宋_GB2312" w:hAnsi="仿宋_GB2312" w:eastAsia="仿宋_GB2312" w:cs="仿宋_GB2312"/>
                <w:sz w:val="28"/>
                <w:szCs w:val="28"/>
                <w:highlight w:val="none"/>
                <w:u w:val="single"/>
                <w:vertAlign w:val="baseline"/>
                <w:lang w:val="en-US" w:eastAsia="zh-CN"/>
              </w:rPr>
            </w:pPr>
          </w:p>
          <w:p w14:paraId="0756BAB5">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58809A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1BF4F15B">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7</w:t>
            </w:r>
          </w:p>
        </w:tc>
        <w:tc>
          <w:tcPr>
            <w:tcW w:w="1410" w:type="dxa"/>
            <w:gridSpan w:val="2"/>
            <w:noWrap w:val="0"/>
            <w:vAlign w:val="top"/>
          </w:tcPr>
          <w:p w14:paraId="0ABB51C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电气系统维护</w:t>
            </w:r>
          </w:p>
        </w:tc>
        <w:tc>
          <w:tcPr>
            <w:tcW w:w="1050" w:type="dxa"/>
            <w:noWrap w:val="0"/>
            <w:vAlign w:val="top"/>
          </w:tcPr>
          <w:p w14:paraId="01869FF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855" w:type="dxa"/>
            <w:noWrap w:val="0"/>
            <w:vAlign w:val="top"/>
          </w:tcPr>
          <w:p w14:paraId="79CC2EB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2850" w:type="dxa"/>
            <w:gridSpan w:val="2"/>
            <w:noWrap w:val="0"/>
            <w:vAlign w:val="top"/>
          </w:tcPr>
          <w:p w14:paraId="48A510C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维修及更换配件单次1000元以下（含1000）损坏维修费用由乙方负责</w:t>
            </w:r>
          </w:p>
        </w:tc>
        <w:tc>
          <w:tcPr>
            <w:tcW w:w="1170" w:type="dxa"/>
            <w:gridSpan w:val="2"/>
            <w:noWrap w:val="0"/>
            <w:vAlign w:val="top"/>
          </w:tcPr>
          <w:p w14:paraId="404433EB">
            <w:pPr>
              <w:jc w:val="center"/>
              <w:rPr>
                <w:rFonts w:hint="eastAsia" w:ascii="仿宋_GB2312" w:hAnsi="仿宋_GB2312" w:eastAsia="仿宋_GB2312" w:cs="仿宋_GB2312"/>
                <w:sz w:val="28"/>
                <w:szCs w:val="28"/>
                <w:highlight w:val="none"/>
                <w:u w:val="single"/>
                <w:vertAlign w:val="baseline"/>
                <w:lang w:val="en-US" w:eastAsia="zh-CN"/>
              </w:rPr>
            </w:pPr>
          </w:p>
          <w:p w14:paraId="5448E3A1">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7C48F7DF">
            <w:pPr>
              <w:jc w:val="center"/>
              <w:rPr>
                <w:rFonts w:hint="eastAsia" w:ascii="仿宋_GB2312" w:hAnsi="仿宋_GB2312" w:eastAsia="仿宋_GB2312" w:cs="仿宋_GB2312"/>
                <w:sz w:val="28"/>
                <w:szCs w:val="28"/>
                <w:highlight w:val="none"/>
                <w:u w:val="single"/>
                <w:vertAlign w:val="baseline"/>
                <w:lang w:val="en-US" w:eastAsia="zh-CN"/>
              </w:rPr>
            </w:pPr>
          </w:p>
          <w:p w14:paraId="55AA5306">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5F6F9D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01FD6ED8">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8</w:t>
            </w:r>
          </w:p>
        </w:tc>
        <w:tc>
          <w:tcPr>
            <w:tcW w:w="1410" w:type="dxa"/>
            <w:gridSpan w:val="2"/>
            <w:noWrap w:val="0"/>
            <w:vAlign w:val="top"/>
          </w:tcPr>
          <w:p w14:paraId="2C44A08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管路部分维护</w:t>
            </w:r>
          </w:p>
        </w:tc>
        <w:tc>
          <w:tcPr>
            <w:tcW w:w="1050" w:type="dxa"/>
            <w:noWrap w:val="0"/>
            <w:vAlign w:val="top"/>
          </w:tcPr>
          <w:p w14:paraId="703A08E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855" w:type="dxa"/>
            <w:noWrap w:val="0"/>
            <w:vAlign w:val="top"/>
          </w:tcPr>
          <w:p w14:paraId="538AD00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2850" w:type="dxa"/>
            <w:gridSpan w:val="2"/>
            <w:noWrap w:val="0"/>
            <w:vAlign w:val="top"/>
          </w:tcPr>
          <w:p w14:paraId="508AEC73">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维修及更换配件单次1000元以下（含1000）损坏维修费用由乙方负责</w:t>
            </w:r>
          </w:p>
        </w:tc>
        <w:tc>
          <w:tcPr>
            <w:tcW w:w="1170" w:type="dxa"/>
            <w:gridSpan w:val="2"/>
            <w:noWrap w:val="0"/>
            <w:vAlign w:val="top"/>
          </w:tcPr>
          <w:p w14:paraId="2D10AD9D">
            <w:pPr>
              <w:jc w:val="center"/>
              <w:rPr>
                <w:rFonts w:hint="eastAsia" w:ascii="仿宋_GB2312" w:hAnsi="仿宋_GB2312" w:eastAsia="仿宋_GB2312" w:cs="仿宋_GB2312"/>
                <w:sz w:val="28"/>
                <w:szCs w:val="28"/>
                <w:highlight w:val="none"/>
                <w:u w:val="single"/>
                <w:vertAlign w:val="baseline"/>
                <w:lang w:val="en-US" w:eastAsia="zh-CN"/>
              </w:rPr>
            </w:pPr>
          </w:p>
          <w:p w14:paraId="4AFABC22">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0E0F5771">
            <w:pPr>
              <w:jc w:val="center"/>
              <w:rPr>
                <w:rFonts w:hint="eastAsia" w:ascii="仿宋_GB2312" w:hAnsi="仿宋_GB2312" w:eastAsia="仿宋_GB2312" w:cs="仿宋_GB2312"/>
                <w:sz w:val="28"/>
                <w:szCs w:val="28"/>
                <w:highlight w:val="none"/>
                <w:u w:val="single"/>
                <w:vertAlign w:val="baseline"/>
                <w:lang w:val="en-US" w:eastAsia="zh-CN"/>
              </w:rPr>
            </w:pPr>
          </w:p>
          <w:p w14:paraId="29D7CA33">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3AF31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1C503923">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9</w:t>
            </w:r>
          </w:p>
        </w:tc>
        <w:tc>
          <w:tcPr>
            <w:tcW w:w="1410" w:type="dxa"/>
            <w:gridSpan w:val="2"/>
            <w:noWrap w:val="0"/>
            <w:vAlign w:val="top"/>
          </w:tcPr>
          <w:p w14:paraId="001F1CB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水箱维护</w:t>
            </w:r>
          </w:p>
        </w:tc>
        <w:tc>
          <w:tcPr>
            <w:tcW w:w="1050" w:type="dxa"/>
            <w:noWrap w:val="0"/>
            <w:vAlign w:val="top"/>
          </w:tcPr>
          <w:p w14:paraId="2F01DDF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855" w:type="dxa"/>
            <w:noWrap w:val="0"/>
            <w:vAlign w:val="top"/>
          </w:tcPr>
          <w:p w14:paraId="10D04B2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2850" w:type="dxa"/>
            <w:gridSpan w:val="2"/>
            <w:noWrap w:val="0"/>
            <w:vAlign w:val="top"/>
          </w:tcPr>
          <w:p w14:paraId="7E505AD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除锈刷漆、水箱锁更换等以外的维修及更换配件单次1000元以下（含1000）损坏维修费用由乙方负责</w:t>
            </w:r>
          </w:p>
        </w:tc>
        <w:tc>
          <w:tcPr>
            <w:tcW w:w="1170" w:type="dxa"/>
            <w:gridSpan w:val="2"/>
            <w:noWrap w:val="0"/>
            <w:vAlign w:val="top"/>
          </w:tcPr>
          <w:p w14:paraId="1ECA36B8">
            <w:pPr>
              <w:jc w:val="center"/>
              <w:rPr>
                <w:rFonts w:hint="eastAsia" w:ascii="仿宋_GB2312" w:hAnsi="仿宋_GB2312" w:eastAsia="仿宋_GB2312" w:cs="仿宋_GB2312"/>
                <w:sz w:val="28"/>
                <w:szCs w:val="28"/>
                <w:highlight w:val="none"/>
                <w:u w:val="single"/>
                <w:vertAlign w:val="baseline"/>
                <w:lang w:val="en-US" w:eastAsia="zh-CN"/>
              </w:rPr>
            </w:pPr>
          </w:p>
          <w:p w14:paraId="33DD6C2E">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327F7974">
            <w:pPr>
              <w:jc w:val="center"/>
              <w:rPr>
                <w:rFonts w:hint="eastAsia" w:ascii="仿宋_GB2312" w:hAnsi="仿宋_GB2312" w:eastAsia="仿宋_GB2312" w:cs="仿宋_GB2312"/>
                <w:sz w:val="28"/>
                <w:szCs w:val="28"/>
                <w:highlight w:val="none"/>
                <w:u w:val="single"/>
                <w:vertAlign w:val="baseline"/>
                <w:lang w:val="en-US" w:eastAsia="zh-CN"/>
              </w:rPr>
            </w:pPr>
          </w:p>
          <w:p w14:paraId="1ABE448A">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6667BA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4B3488C8">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10</w:t>
            </w:r>
          </w:p>
        </w:tc>
        <w:tc>
          <w:tcPr>
            <w:tcW w:w="1410" w:type="dxa"/>
            <w:gridSpan w:val="2"/>
            <w:noWrap w:val="0"/>
            <w:vAlign w:val="top"/>
          </w:tcPr>
          <w:p w14:paraId="18AF4FE6">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药剂费</w:t>
            </w:r>
          </w:p>
        </w:tc>
        <w:tc>
          <w:tcPr>
            <w:tcW w:w="1050" w:type="dxa"/>
            <w:noWrap w:val="0"/>
            <w:vAlign w:val="top"/>
          </w:tcPr>
          <w:p w14:paraId="6513D7F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855" w:type="dxa"/>
            <w:noWrap w:val="0"/>
            <w:vAlign w:val="top"/>
          </w:tcPr>
          <w:p w14:paraId="6E0A5BD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2850" w:type="dxa"/>
            <w:gridSpan w:val="2"/>
            <w:noWrap w:val="0"/>
            <w:vAlign w:val="top"/>
          </w:tcPr>
          <w:p w14:paraId="09D077D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次氯酸钠、柠檬酸、氢氧化钠等药剂</w:t>
            </w:r>
          </w:p>
        </w:tc>
        <w:tc>
          <w:tcPr>
            <w:tcW w:w="1170" w:type="dxa"/>
            <w:gridSpan w:val="2"/>
            <w:noWrap w:val="0"/>
            <w:vAlign w:val="top"/>
          </w:tcPr>
          <w:p w14:paraId="7B2C0E9D">
            <w:pPr>
              <w:jc w:val="center"/>
              <w:rPr>
                <w:rFonts w:hint="eastAsia" w:ascii="仿宋_GB2312" w:hAnsi="仿宋_GB2312" w:eastAsia="仿宋_GB2312" w:cs="仿宋_GB2312"/>
                <w:sz w:val="28"/>
                <w:szCs w:val="28"/>
                <w:highlight w:val="none"/>
                <w:u w:val="single"/>
                <w:vertAlign w:val="baseline"/>
                <w:lang w:val="en-US" w:eastAsia="zh-CN"/>
              </w:rPr>
            </w:pPr>
          </w:p>
          <w:p w14:paraId="068709CA">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4BE2DD90">
            <w:pPr>
              <w:jc w:val="center"/>
              <w:rPr>
                <w:rFonts w:hint="eastAsia" w:ascii="仿宋_GB2312" w:hAnsi="仿宋_GB2312" w:eastAsia="仿宋_GB2312" w:cs="仿宋_GB2312"/>
                <w:sz w:val="28"/>
                <w:szCs w:val="28"/>
                <w:highlight w:val="none"/>
                <w:u w:val="single"/>
                <w:vertAlign w:val="baseline"/>
                <w:lang w:val="en-US" w:eastAsia="zh-CN"/>
              </w:rPr>
            </w:pPr>
          </w:p>
          <w:p w14:paraId="05F74CDF">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56F4A2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0" w:type="dxa"/>
            <w:noWrap w:val="0"/>
            <w:vAlign w:val="top"/>
          </w:tcPr>
          <w:p w14:paraId="53A0207C">
            <w:pPr>
              <w:ind w:firstLine="280" w:firstLineChars="100"/>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11</w:t>
            </w:r>
          </w:p>
        </w:tc>
        <w:tc>
          <w:tcPr>
            <w:tcW w:w="1410" w:type="dxa"/>
            <w:gridSpan w:val="2"/>
            <w:noWrap w:val="0"/>
            <w:vAlign w:val="top"/>
          </w:tcPr>
          <w:p w14:paraId="02CCF2B7">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水泵维修费</w:t>
            </w:r>
          </w:p>
        </w:tc>
        <w:tc>
          <w:tcPr>
            <w:tcW w:w="1050" w:type="dxa"/>
            <w:noWrap w:val="0"/>
            <w:vAlign w:val="top"/>
          </w:tcPr>
          <w:p w14:paraId="1C1D560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年费</w:t>
            </w:r>
          </w:p>
        </w:tc>
        <w:tc>
          <w:tcPr>
            <w:tcW w:w="855" w:type="dxa"/>
            <w:noWrap w:val="0"/>
            <w:vAlign w:val="top"/>
          </w:tcPr>
          <w:p w14:paraId="10D2D39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2850" w:type="dxa"/>
            <w:gridSpan w:val="2"/>
            <w:noWrap w:val="0"/>
            <w:vAlign w:val="top"/>
          </w:tcPr>
          <w:p w14:paraId="1649F1A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调节池内的污水处理提升泵以及膜池、好氧池、缺氧池、清水池内的所有水泵进行维修</w:t>
            </w:r>
          </w:p>
        </w:tc>
        <w:tc>
          <w:tcPr>
            <w:tcW w:w="1170" w:type="dxa"/>
            <w:gridSpan w:val="2"/>
            <w:noWrap w:val="0"/>
            <w:vAlign w:val="top"/>
          </w:tcPr>
          <w:p w14:paraId="1258F998">
            <w:pPr>
              <w:jc w:val="center"/>
              <w:rPr>
                <w:rFonts w:hint="eastAsia" w:ascii="仿宋_GB2312" w:hAnsi="仿宋_GB2312" w:eastAsia="仿宋_GB2312" w:cs="仿宋_GB2312"/>
                <w:sz w:val="28"/>
                <w:szCs w:val="28"/>
                <w:highlight w:val="none"/>
                <w:u w:val="single"/>
                <w:vertAlign w:val="baseline"/>
                <w:lang w:val="en-US" w:eastAsia="zh-CN"/>
              </w:rPr>
            </w:pPr>
          </w:p>
          <w:p w14:paraId="53F2EFBF">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c>
          <w:tcPr>
            <w:tcW w:w="1320" w:type="dxa"/>
            <w:noWrap w:val="0"/>
            <w:vAlign w:val="top"/>
          </w:tcPr>
          <w:p w14:paraId="71B417E6">
            <w:pPr>
              <w:jc w:val="center"/>
              <w:rPr>
                <w:rFonts w:hint="eastAsia" w:ascii="仿宋_GB2312" w:hAnsi="仿宋_GB2312" w:eastAsia="仿宋_GB2312" w:cs="仿宋_GB2312"/>
                <w:sz w:val="28"/>
                <w:szCs w:val="28"/>
                <w:highlight w:val="none"/>
                <w:u w:val="single"/>
                <w:vertAlign w:val="baseline"/>
                <w:lang w:val="en-US" w:eastAsia="zh-CN"/>
              </w:rPr>
            </w:pPr>
          </w:p>
          <w:p w14:paraId="5D523AB6">
            <w:pPr>
              <w:jc w:val="center"/>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tc>
      </w:tr>
      <w:tr w14:paraId="2874AE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945" w:type="dxa"/>
            <w:gridSpan w:val="7"/>
            <w:noWrap w:val="0"/>
            <w:vAlign w:val="top"/>
          </w:tcPr>
          <w:p w14:paraId="7D0A0172">
            <w:pPr>
              <w:jc w:val="center"/>
              <w:rPr>
                <w:rFonts w:hint="eastAsia" w:ascii="仿宋_GB2312" w:hAnsi="仿宋_GB2312" w:eastAsia="仿宋_GB2312" w:cs="仿宋_GB2312"/>
                <w:sz w:val="28"/>
                <w:szCs w:val="28"/>
                <w:highlight w:val="none"/>
                <w:u w:val="none"/>
                <w:vertAlign w:val="baseline"/>
                <w:lang w:val="en-US" w:eastAsia="zh-CN"/>
              </w:rPr>
            </w:pPr>
          </w:p>
          <w:p w14:paraId="66180CC6">
            <w:pPr>
              <w:jc w:val="right"/>
              <w:rPr>
                <w:rFonts w:hint="eastAsia" w:ascii="仿宋_GB2312" w:hAnsi="仿宋_GB2312" w:eastAsia="仿宋_GB2312" w:cs="仿宋_GB2312"/>
                <w:sz w:val="28"/>
                <w:szCs w:val="28"/>
                <w:highlight w:val="none"/>
                <w:u w:val="single"/>
                <w:vertAlign w:val="baseline"/>
                <w:lang w:val="en-US" w:eastAsia="zh-CN"/>
              </w:rPr>
            </w:pPr>
            <w:r>
              <w:rPr>
                <w:rFonts w:hint="eastAsia" w:ascii="仿宋_GB2312" w:hAnsi="仿宋_GB2312" w:eastAsia="仿宋_GB2312" w:cs="仿宋_GB2312"/>
                <w:b/>
                <w:bCs/>
                <w:sz w:val="28"/>
                <w:szCs w:val="28"/>
                <w:highlight w:val="none"/>
                <w:u w:val="none"/>
                <w:vertAlign w:val="baseline"/>
                <w:lang w:val="en-US" w:eastAsia="zh-CN"/>
              </w:rPr>
              <w:t>总计：</w:t>
            </w:r>
          </w:p>
        </w:tc>
        <w:tc>
          <w:tcPr>
            <w:tcW w:w="2490" w:type="dxa"/>
            <w:gridSpan w:val="3"/>
            <w:noWrap w:val="0"/>
            <w:vAlign w:val="top"/>
          </w:tcPr>
          <w:p w14:paraId="0BE576A3">
            <w:pPr>
              <w:jc w:val="center"/>
              <w:rPr>
                <w:rFonts w:hint="eastAsia" w:ascii="仿宋_GB2312" w:hAnsi="仿宋_GB2312" w:eastAsia="仿宋_GB2312" w:cs="仿宋_GB2312"/>
                <w:sz w:val="28"/>
                <w:szCs w:val="28"/>
                <w:highlight w:val="none"/>
                <w:u w:val="single"/>
                <w:vertAlign w:val="baseline"/>
                <w:lang w:val="en-US" w:eastAsia="zh-CN"/>
              </w:rPr>
            </w:pPr>
          </w:p>
          <w:p w14:paraId="6C64B65D">
            <w:pPr>
              <w:jc w:val="center"/>
              <w:rPr>
                <w:rFonts w:hint="eastAsia" w:ascii="仿宋_GB2312" w:hAnsi="仿宋_GB2312" w:eastAsia="仿宋_GB2312" w:cs="仿宋_GB2312"/>
                <w:sz w:val="28"/>
                <w:szCs w:val="28"/>
                <w:highlight w:val="none"/>
                <w:u w:val="none"/>
                <w:vertAlign w:val="baseline"/>
                <w:lang w:val="en-US" w:eastAsia="zh-CN"/>
              </w:rPr>
            </w:pPr>
            <w:r>
              <w:rPr>
                <w:rFonts w:hint="eastAsia" w:ascii="仿宋_GB2312" w:hAnsi="仿宋_GB2312" w:eastAsia="仿宋_GB2312" w:cs="仿宋_GB2312"/>
                <w:sz w:val="28"/>
                <w:szCs w:val="28"/>
                <w:highlight w:val="none"/>
                <w:u w:val="single"/>
                <w:vertAlign w:val="baseline"/>
                <w:lang w:val="en-US" w:eastAsia="zh-CN"/>
              </w:rPr>
              <w:t xml:space="preserve">   </w:t>
            </w:r>
            <w:r>
              <w:rPr>
                <w:rFonts w:hint="eastAsia" w:ascii="仿宋_GB2312" w:hAnsi="仿宋_GB2312" w:eastAsia="仿宋_GB2312" w:cs="仿宋_GB2312"/>
                <w:sz w:val="28"/>
                <w:szCs w:val="28"/>
                <w:highlight w:val="none"/>
                <w:u w:val="none"/>
                <w:vertAlign w:val="baseline"/>
                <w:lang w:val="en-US" w:eastAsia="zh-CN"/>
              </w:rPr>
              <w:t>元</w:t>
            </w:r>
          </w:p>
          <w:p w14:paraId="5040E633">
            <w:pPr>
              <w:jc w:val="center"/>
              <w:rPr>
                <w:rFonts w:hint="eastAsia" w:ascii="仿宋_GB2312" w:hAnsi="仿宋_GB2312" w:eastAsia="仿宋_GB2312" w:cs="仿宋_GB2312"/>
                <w:sz w:val="28"/>
                <w:szCs w:val="28"/>
                <w:highlight w:val="none"/>
                <w:u w:val="none"/>
                <w:vertAlign w:val="baseline"/>
                <w:lang w:val="en-US" w:eastAsia="zh-CN"/>
              </w:rPr>
            </w:pPr>
          </w:p>
        </w:tc>
      </w:tr>
      <w:tr w14:paraId="7C2469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6" w:hRule="atLeast"/>
        </w:trPr>
        <w:tc>
          <w:tcPr>
            <w:tcW w:w="9435" w:type="dxa"/>
            <w:gridSpan w:val="10"/>
            <w:noWrap w:val="0"/>
            <w:vAlign w:val="top"/>
          </w:tcPr>
          <w:p w14:paraId="1329FF7B">
            <w:pPr>
              <w:jc w:val="both"/>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备注：污水排放水质需满足《水污染物综合排放标准》（DB11/307-2013）和《污水排入城市下水道水质标准》（GB/T31962-2015），各项指标要求如下。</w:t>
            </w:r>
          </w:p>
          <w:p w14:paraId="56D185CB">
            <w:pPr>
              <w:jc w:val="both"/>
              <w:rPr>
                <w:rFonts w:hint="eastAsia" w:ascii="仿宋_GB2312" w:hAnsi="仿宋_GB2312" w:eastAsia="仿宋_GB2312" w:cs="仿宋_GB2312"/>
                <w:sz w:val="28"/>
                <w:szCs w:val="28"/>
                <w:highlight w:val="none"/>
                <w:vertAlign w:val="baseline"/>
                <w:lang w:val="en-US" w:eastAsia="zh-CN"/>
              </w:rPr>
            </w:pPr>
          </w:p>
        </w:tc>
      </w:tr>
      <w:tr w14:paraId="28A45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7174839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序号</w:t>
            </w:r>
          </w:p>
        </w:tc>
        <w:tc>
          <w:tcPr>
            <w:tcW w:w="3780" w:type="dxa"/>
            <w:gridSpan w:val="4"/>
            <w:noWrap w:val="0"/>
            <w:vAlign w:val="top"/>
          </w:tcPr>
          <w:p w14:paraId="13ED8BB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项目</w:t>
            </w:r>
          </w:p>
        </w:tc>
        <w:tc>
          <w:tcPr>
            <w:tcW w:w="2835" w:type="dxa"/>
            <w:gridSpan w:val="2"/>
            <w:noWrap w:val="0"/>
            <w:vAlign w:val="top"/>
          </w:tcPr>
          <w:p w14:paraId="67B5B50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排放限值</w:t>
            </w:r>
          </w:p>
        </w:tc>
        <w:tc>
          <w:tcPr>
            <w:tcW w:w="1915" w:type="dxa"/>
            <w:gridSpan w:val="2"/>
            <w:noWrap w:val="0"/>
            <w:vAlign w:val="top"/>
          </w:tcPr>
          <w:p w14:paraId="7439792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单位</w:t>
            </w:r>
          </w:p>
        </w:tc>
      </w:tr>
      <w:tr w14:paraId="259EB2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0FF8AC10">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1</w:t>
            </w:r>
          </w:p>
        </w:tc>
        <w:tc>
          <w:tcPr>
            <w:tcW w:w="3780" w:type="dxa"/>
            <w:gridSpan w:val="4"/>
            <w:noWrap w:val="0"/>
            <w:vAlign w:val="top"/>
          </w:tcPr>
          <w:p w14:paraId="2B1A956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pH值/无量纲</w:t>
            </w:r>
          </w:p>
        </w:tc>
        <w:tc>
          <w:tcPr>
            <w:tcW w:w="2835" w:type="dxa"/>
            <w:gridSpan w:val="2"/>
            <w:noWrap w:val="0"/>
            <w:vAlign w:val="top"/>
          </w:tcPr>
          <w:p w14:paraId="64978B1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6.0-9.0</w:t>
            </w:r>
          </w:p>
        </w:tc>
        <w:tc>
          <w:tcPr>
            <w:tcW w:w="1915" w:type="dxa"/>
            <w:gridSpan w:val="2"/>
            <w:noWrap w:val="0"/>
            <w:vAlign w:val="top"/>
          </w:tcPr>
          <w:p w14:paraId="45756AC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w:t>
            </w:r>
          </w:p>
        </w:tc>
      </w:tr>
      <w:tr w14:paraId="643241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0FB7493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2</w:t>
            </w:r>
          </w:p>
        </w:tc>
        <w:tc>
          <w:tcPr>
            <w:tcW w:w="3780" w:type="dxa"/>
            <w:gridSpan w:val="4"/>
            <w:noWrap w:val="0"/>
            <w:vAlign w:val="top"/>
          </w:tcPr>
          <w:p w14:paraId="57C6BEE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悬浮物（SS）</w:t>
            </w:r>
          </w:p>
        </w:tc>
        <w:tc>
          <w:tcPr>
            <w:tcW w:w="2835" w:type="dxa"/>
            <w:gridSpan w:val="2"/>
            <w:noWrap w:val="0"/>
            <w:vAlign w:val="top"/>
          </w:tcPr>
          <w:p w14:paraId="62FD51A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400</w:t>
            </w:r>
          </w:p>
        </w:tc>
        <w:tc>
          <w:tcPr>
            <w:tcW w:w="1915" w:type="dxa"/>
            <w:gridSpan w:val="2"/>
            <w:noWrap w:val="0"/>
            <w:vAlign w:val="top"/>
          </w:tcPr>
          <w:p w14:paraId="706CD3B6">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5A0A0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6DAC2C1C">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3</w:t>
            </w:r>
          </w:p>
        </w:tc>
        <w:tc>
          <w:tcPr>
            <w:tcW w:w="3780" w:type="dxa"/>
            <w:gridSpan w:val="4"/>
            <w:noWrap w:val="0"/>
            <w:vAlign w:val="top"/>
          </w:tcPr>
          <w:p w14:paraId="799865A8">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五日生化需氧量（BOD5）</w:t>
            </w:r>
          </w:p>
        </w:tc>
        <w:tc>
          <w:tcPr>
            <w:tcW w:w="2835" w:type="dxa"/>
            <w:gridSpan w:val="2"/>
            <w:noWrap w:val="0"/>
            <w:vAlign w:val="top"/>
          </w:tcPr>
          <w:p w14:paraId="79FA5F8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300</w:t>
            </w:r>
          </w:p>
        </w:tc>
        <w:tc>
          <w:tcPr>
            <w:tcW w:w="1915" w:type="dxa"/>
            <w:gridSpan w:val="2"/>
            <w:noWrap w:val="0"/>
            <w:vAlign w:val="top"/>
          </w:tcPr>
          <w:p w14:paraId="2E27CE0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4099C6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1D03C45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w:t>
            </w:r>
          </w:p>
        </w:tc>
        <w:tc>
          <w:tcPr>
            <w:tcW w:w="3780" w:type="dxa"/>
            <w:gridSpan w:val="4"/>
            <w:noWrap w:val="0"/>
            <w:vAlign w:val="top"/>
          </w:tcPr>
          <w:p w14:paraId="6DE37A3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化学需氧量（CODcr）</w:t>
            </w:r>
          </w:p>
        </w:tc>
        <w:tc>
          <w:tcPr>
            <w:tcW w:w="2835" w:type="dxa"/>
            <w:gridSpan w:val="2"/>
            <w:noWrap w:val="0"/>
            <w:vAlign w:val="top"/>
          </w:tcPr>
          <w:p w14:paraId="60031EA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500</w:t>
            </w:r>
          </w:p>
        </w:tc>
        <w:tc>
          <w:tcPr>
            <w:tcW w:w="1915" w:type="dxa"/>
            <w:gridSpan w:val="2"/>
            <w:noWrap w:val="0"/>
            <w:vAlign w:val="top"/>
          </w:tcPr>
          <w:p w14:paraId="31C3E306">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7362E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3577586A">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w:t>
            </w:r>
          </w:p>
        </w:tc>
        <w:tc>
          <w:tcPr>
            <w:tcW w:w="3780" w:type="dxa"/>
            <w:gridSpan w:val="4"/>
            <w:noWrap w:val="0"/>
            <w:vAlign w:val="top"/>
          </w:tcPr>
          <w:p w14:paraId="7581EA1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氨氮</w:t>
            </w:r>
          </w:p>
        </w:tc>
        <w:tc>
          <w:tcPr>
            <w:tcW w:w="2835" w:type="dxa"/>
            <w:gridSpan w:val="2"/>
            <w:noWrap w:val="0"/>
            <w:vAlign w:val="top"/>
          </w:tcPr>
          <w:p w14:paraId="12B5003F">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45</w:t>
            </w:r>
          </w:p>
        </w:tc>
        <w:tc>
          <w:tcPr>
            <w:tcW w:w="1915" w:type="dxa"/>
            <w:gridSpan w:val="2"/>
            <w:noWrap w:val="0"/>
            <w:vAlign w:val="top"/>
          </w:tcPr>
          <w:p w14:paraId="4418CDC1">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4F77E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7E90337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6</w:t>
            </w:r>
          </w:p>
        </w:tc>
        <w:tc>
          <w:tcPr>
            <w:tcW w:w="3780" w:type="dxa"/>
            <w:gridSpan w:val="4"/>
            <w:noWrap w:val="0"/>
            <w:vAlign w:val="top"/>
          </w:tcPr>
          <w:p w14:paraId="2CB4557B">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总磷（以P计）</w:t>
            </w:r>
          </w:p>
        </w:tc>
        <w:tc>
          <w:tcPr>
            <w:tcW w:w="2835" w:type="dxa"/>
            <w:gridSpan w:val="2"/>
            <w:noWrap w:val="0"/>
            <w:vAlign w:val="top"/>
          </w:tcPr>
          <w:p w14:paraId="5F9DF812">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8</w:t>
            </w:r>
          </w:p>
        </w:tc>
        <w:tc>
          <w:tcPr>
            <w:tcW w:w="1915" w:type="dxa"/>
            <w:gridSpan w:val="2"/>
            <w:noWrap w:val="0"/>
            <w:vAlign w:val="top"/>
          </w:tcPr>
          <w:p w14:paraId="700395F4">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052B39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trPr>
        <w:tc>
          <w:tcPr>
            <w:tcW w:w="905" w:type="dxa"/>
            <w:gridSpan w:val="2"/>
            <w:noWrap w:val="0"/>
            <w:vAlign w:val="top"/>
          </w:tcPr>
          <w:p w14:paraId="526DB4E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7</w:t>
            </w:r>
          </w:p>
        </w:tc>
        <w:tc>
          <w:tcPr>
            <w:tcW w:w="3780" w:type="dxa"/>
            <w:gridSpan w:val="4"/>
            <w:noWrap w:val="0"/>
            <w:vAlign w:val="top"/>
          </w:tcPr>
          <w:p w14:paraId="1926B695">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动植物油</w:t>
            </w:r>
          </w:p>
        </w:tc>
        <w:tc>
          <w:tcPr>
            <w:tcW w:w="2835" w:type="dxa"/>
            <w:gridSpan w:val="2"/>
            <w:noWrap w:val="0"/>
            <w:vAlign w:val="top"/>
          </w:tcPr>
          <w:p w14:paraId="5A2314EE">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≤50</w:t>
            </w:r>
          </w:p>
        </w:tc>
        <w:tc>
          <w:tcPr>
            <w:tcW w:w="1915" w:type="dxa"/>
            <w:gridSpan w:val="2"/>
            <w:noWrap w:val="0"/>
            <w:vAlign w:val="top"/>
          </w:tcPr>
          <w:p w14:paraId="1042C439">
            <w:pPr>
              <w:jc w:val="center"/>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Mg/L</w:t>
            </w:r>
          </w:p>
        </w:tc>
      </w:tr>
      <w:tr w14:paraId="0D0F92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7" w:hRule="atLeast"/>
        </w:trPr>
        <w:tc>
          <w:tcPr>
            <w:tcW w:w="9435" w:type="dxa"/>
            <w:gridSpan w:val="10"/>
            <w:noWrap w:val="0"/>
            <w:vAlign w:val="top"/>
          </w:tcPr>
          <w:p w14:paraId="6ECF1CAC">
            <w:pPr>
              <w:keepNext w:val="0"/>
              <w:keepLines w:val="0"/>
              <w:widowControl/>
              <w:suppressLineNumbers w:val="0"/>
              <w:spacing w:line="360" w:lineRule="auto"/>
              <w:jc w:val="left"/>
              <w:rPr>
                <w:rFonts w:hint="eastAsia" w:ascii="仿宋_GB2312" w:hAnsi="仿宋_GB2312" w:eastAsia="仿宋_GB2312" w:cs="仿宋_GB2312"/>
                <w:color w:val="000000"/>
                <w:kern w:val="0"/>
                <w:sz w:val="28"/>
                <w:szCs w:val="28"/>
                <w:highlight w:val="none"/>
                <w:lang w:val="en-US" w:eastAsia="zh-CN" w:bidi="ar"/>
              </w:rPr>
            </w:pPr>
            <w:r>
              <w:rPr>
                <w:rFonts w:hint="eastAsia" w:ascii="仿宋_GB2312" w:hAnsi="仿宋_GB2312" w:eastAsia="仿宋_GB2312" w:cs="仿宋_GB2312"/>
                <w:color w:val="000000"/>
                <w:kern w:val="0"/>
                <w:sz w:val="28"/>
                <w:szCs w:val="28"/>
                <w:highlight w:val="none"/>
                <w:lang w:val="en-US" w:eastAsia="zh-CN" w:bidi="ar"/>
              </w:rPr>
              <w:t>供应商要求：</w:t>
            </w:r>
          </w:p>
          <w:p w14:paraId="3005C41A">
            <w:pPr>
              <w:numPr>
                <w:ilvl w:val="0"/>
                <w:numId w:val="2"/>
              </w:numPr>
              <w:spacing w:line="360" w:lineRule="auto"/>
              <w:ind w:left="0" w:leftChars="0" w:firstLine="0" w:firstLineChars="0"/>
              <w:rPr>
                <w:rFonts w:hint="eastAsia" w:ascii="仿宋_GB2312" w:hAnsi="仿宋_GB2312" w:eastAsia="仿宋_GB2312" w:cs="仿宋_GB2312"/>
                <w:sz w:val="28"/>
                <w:szCs w:val="28"/>
                <w:highlight w:val="none"/>
                <w:vertAlign w:val="baseline"/>
                <w:lang w:val="en-US" w:eastAsia="zh-CN"/>
              </w:rPr>
            </w:pPr>
            <w:r>
              <w:rPr>
                <w:rFonts w:hint="eastAsia" w:ascii="仿宋_GB2312" w:hAnsi="仿宋_GB2312" w:eastAsia="仿宋_GB2312" w:cs="仿宋_GB2312"/>
                <w:sz w:val="28"/>
                <w:szCs w:val="28"/>
                <w:highlight w:val="none"/>
                <w:vertAlign w:val="baseline"/>
                <w:lang w:val="en-US" w:eastAsia="zh-CN"/>
              </w:rPr>
              <w:t>营业执照（具备水污染治理相关内容）；</w:t>
            </w:r>
          </w:p>
        </w:tc>
      </w:tr>
    </w:tbl>
    <w:p w14:paraId="5EB18512">
      <w:pPr>
        <w:jc w:val="both"/>
        <w:rPr>
          <w:rFonts w:hint="eastAsia" w:ascii="仿宋_GB2312" w:hAnsi="仿宋_GB2312" w:eastAsia="仿宋_GB2312" w:cs="仿宋_GB2312"/>
          <w:sz w:val="28"/>
          <w:szCs w:val="28"/>
          <w:highlight w:val="none"/>
          <w:lang w:val="en-US" w:eastAsia="zh-CN"/>
        </w:rPr>
      </w:pPr>
    </w:p>
    <w:p w14:paraId="2AD7711C">
      <w:pPr>
        <w:rPr>
          <w:rFonts w:hint="eastAsia" w:ascii="仿宋_GB2312" w:hAnsi="仿宋_GB2312" w:eastAsia="仿宋_GB2312" w:cs="仿宋_GB2312"/>
          <w:sz w:val="28"/>
          <w:szCs w:val="28"/>
          <w:highlight w:val="none"/>
        </w:rPr>
      </w:pPr>
    </w:p>
    <w:p w14:paraId="7E610808">
      <w:pPr>
        <w:rPr>
          <w:rFonts w:hint="eastAsia" w:ascii="仿宋_GB2312" w:hAnsi="仿宋_GB2312" w:eastAsia="仿宋_GB2312" w:cs="仿宋_GB2312"/>
          <w:sz w:val="28"/>
          <w:szCs w:val="28"/>
          <w:highlight w:val="none"/>
        </w:rPr>
      </w:pPr>
    </w:p>
    <w:p w14:paraId="0FDBB06A">
      <w:pPr>
        <w:rPr>
          <w:rFonts w:hint="eastAsia" w:ascii="仿宋_GB2312" w:hAnsi="仿宋_GB2312" w:eastAsia="仿宋_GB2312" w:cs="仿宋_GB2312"/>
          <w:sz w:val="28"/>
          <w:szCs w:val="28"/>
          <w:highlight w:val="none"/>
        </w:rPr>
      </w:pPr>
    </w:p>
    <w:p w14:paraId="00F0A042">
      <w:pPr>
        <w:rPr>
          <w:rFonts w:hint="eastAsia" w:ascii="仿宋_GB2312" w:hAnsi="仿宋_GB2312" w:eastAsia="仿宋_GB2312" w:cs="仿宋_GB2312"/>
          <w:sz w:val="28"/>
          <w:szCs w:val="28"/>
          <w:highlight w:val="none"/>
        </w:rPr>
      </w:pPr>
    </w:p>
    <w:p w14:paraId="1E5A0667">
      <w:pPr>
        <w:rPr>
          <w:rFonts w:hint="eastAsia" w:ascii="仿宋_GB2312" w:hAnsi="仿宋_GB2312" w:eastAsia="仿宋_GB2312" w:cs="仿宋_GB2312"/>
          <w:sz w:val="28"/>
          <w:szCs w:val="28"/>
          <w:highlight w:val="none"/>
        </w:rPr>
      </w:pPr>
    </w:p>
    <w:p w14:paraId="13295C39">
      <w:pPr>
        <w:rPr>
          <w:rFonts w:hint="eastAsia" w:ascii="仿宋_GB2312" w:hAnsi="仿宋_GB2312" w:eastAsia="仿宋_GB2312" w:cs="仿宋_GB2312"/>
          <w:sz w:val="28"/>
          <w:szCs w:val="28"/>
          <w:highlight w:val="none"/>
        </w:rPr>
      </w:pPr>
    </w:p>
    <w:p w14:paraId="53EB8ED3">
      <w:pPr>
        <w:rPr>
          <w:rFonts w:hint="eastAsia" w:ascii="仿宋_GB2312" w:hAnsi="仿宋_GB2312" w:eastAsia="仿宋_GB2312" w:cs="仿宋_GB2312"/>
          <w:sz w:val="28"/>
          <w:szCs w:val="28"/>
          <w:highlight w:val="none"/>
        </w:rPr>
      </w:pPr>
    </w:p>
    <w:p w14:paraId="13EA3C99">
      <w:pPr>
        <w:rPr>
          <w:rFonts w:hint="eastAsia" w:ascii="仿宋_GB2312" w:hAnsi="仿宋_GB2312" w:eastAsia="仿宋_GB2312" w:cs="仿宋_GB2312"/>
          <w:sz w:val="28"/>
          <w:szCs w:val="28"/>
          <w:highlight w:val="none"/>
        </w:rPr>
      </w:pPr>
    </w:p>
    <w:p w14:paraId="2A25020D">
      <w:pPr>
        <w:rPr>
          <w:rFonts w:hint="eastAsia" w:ascii="仿宋_GB2312" w:hAnsi="仿宋_GB2312" w:eastAsia="仿宋_GB2312" w:cs="仿宋_GB2312"/>
          <w:sz w:val="28"/>
          <w:szCs w:val="28"/>
          <w:highlight w:val="none"/>
        </w:rPr>
      </w:pPr>
    </w:p>
    <w:p w14:paraId="5D6DA4EB">
      <w:pPr>
        <w:rPr>
          <w:rFonts w:hint="eastAsia" w:ascii="仿宋_GB2312" w:hAnsi="仿宋_GB2312" w:eastAsia="仿宋_GB2312" w:cs="仿宋_GB2312"/>
          <w:sz w:val="28"/>
          <w:szCs w:val="28"/>
          <w:highlight w:val="none"/>
        </w:rPr>
      </w:pPr>
    </w:p>
    <w:p w14:paraId="3BF904CC">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附件二</w:t>
      </w:r>
    </w:p>
    <w:p w14:paraId="716D05DE">
      <w:pPr>
        <w:rPr>
          <w:rFonts w:hint="eastAsia" w:ascii="仿宋_GB2312" w:hAnsi="仿宋_GB2312" w:eastAsia="仿宋_GB2312" w:cs="仿宋_GB2312"/>
          <w:sz w:val="28"/>
          <w:szCs w:val="28"/>
          <w:highlight w:val="none"/>
        </w:rPr>
      </w:pPr>
    </w:p>
    <w:p w14:paraId="6E222779">
      <w:pPr>
        <w:snapToGrid w:val="0"/>
        <w:spacing w:line="575" w:lineRule="exact"/>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b w:val="0"/>
          <w:bCs w:val="0"/>
          <w:sz w:val="28"/>
          <w:szCs w:val="28"/>
          <w:highlight w:val="none"/>
        </w:rPr>
        <w:t>2026年度中纺大厦B2层污水处理设备维护维修保养</w:t>
      </w:r>
      <w:r>
        <w:rPr>
          <w:rFonts w:hint="eastAsia" w:ascii="仿宋_GB2312" w:hAnsi="仿宋_GB2312" w:eastAsia="仿宋_GB2312" w:cs="仿宋_GB2312"/>
          <w:sz w:val="28"/>
          <w:szCs w:val="28"/>
          <w:highlight w:val="none"/>
        </w:rPr>
        <w:t>合同</w:t>
      </w:r>
    </w:p>
    <w:p w14:paraId="4F57EB14">
      <w:pPr>
        <w:snapToGrid w:val="0"/>
        <w:spacing w:line="575" w:lineRule="exact"/>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安全管理协议</w:t>
      </w:r>
    </w:p>
    <w:p w14:paraId="113DBADB">
      <w:pPr>
        <w:snapToGrid w:val="0"/>
        <w:spacing w:line="575" w:lineRule="exact"/>
        <w:rPr>
          <w:rFonts w:hint="eastAsia" w:ascii="仿宋_GB2312" w:hAnsi="仿宋_GB2312" w:eastAsia="仿宋_GB2312" w:cs="仿宋_GB2312"/>
          <w:sz w:val="28"/>
          <w:szCs w:val="28"/>
          <w:highlight w:val="none"/>
        </w:rPr>
      </w:pPr>
    </w:p>
    <w:p w14:paraId="48551E44">
      <w:pPr>
        <w:snapToGrid w:val="0"/>
        <w:spacing w:line="575" w:lineRule="exact"/>
        <w:rPr>
          <w:rFonts w:hint="eastAsia" w:ascii="仿宋_GB2312" w:hAnsi="仿宋_GB2312" w:eastAsia="仿宋_GB2312" w:cs="仿宋_GB2312"/>
          <w:bCs/>
          <w:kern w:val="36"/>
          <w:sz w:val="28"/>
          <w:szCs w:val="28"/>
          <w:highlight w:val="none"/>
        </w:rPr>
      </w:pPr>
      <w:r>
        <w:rPr>
          <w:rFonts w:hint="eastAsia" w:ascii="仿宋_GB2312" w:hAnsi="仿宋_GB2312" w:eastAsia="仿宋_GB2312" w:cs="仿宋_GB2312"/>
          <w:bCs/>
          <w:kern w:val="36"/>
          <w:sz w:val="28"/>
          <w:szCs w:val="28"/>
          <w:highlight w:val="none"/>
        </w:rPr>
        <w:t>甲方（发包方）：中纺物业管理有限公司</w:t>
      </w:r>
    </w:p>
    <w:p w14:paraId="581134BE">
      <w:pPr>
        <w:snapToGrid w:val="0"/>
        <w:spacing w:line="575" w:lineRule="exact"/>
        <w:rPr>
          <w:rFonts w:hint="eastAsia" w:ascii="仿宋_GB2312" w:hAnsi="仿宋_GB2312" w:eastAsia="仿宋_GB2312" w:cs="仿宋_GB2312"/>
          <w:bCs/>
          <w:kern w:val="36"/>
          <w:sz w:val="28"/>
          <w:szCs w:val="28"/>
          <w:highlight w:val="none"/>
        </w:rPr>
      </w:pPr>
      <w:r>
        <w:rPr>
          <w:rFonts w:hint="eastAsia" w:ascii="仿宋_GB2312" w:hAnsi="仿宋_GB2312" w:eastAsia="仿宋_GB2312" w:cs="仿宋_GB2312"/>
          <w:bCs/>
          <w:kern w:val="36"/>
          <w:sz w:val="28"/>
          <w:szCs w:val="28"/>
          <w:highlight w:val="none"/>
        </w:rPr>
        <w:t>乙方（承包方）：</w:t>
      </w:r>
    </w:p>
    <w:p w14:paraId="1DD49B63">
      <w:pPr>
        <w:pStyle w:val="2"/>
        <w:shd w:val="clear" w:color="auto" w:fill="FFFFFF"/>
        <w:snapToGrid w:val="0"/>
        <w:spacing w:before="0" w:beforeAutospacing="0" w:after="0" w:afterAutospacing="0" w:line="575" w:lineRule="exact"/>
        <w:ind w:firstLine="560" w:firstLineChars="200"/>
        <w:jc w:val="both"/>
        <w:rPr>
          <w:rFonts w:hint="eastAsia" w:ascii="仿宋_GB2312" w:hAnsi="仿宋_GB2312" w:eastAsia="仿宋_GB2312" w:cs="仿宋_GB2312"/>
          <w:b w:val="0"/>
          <w:sz w:val="28"/>
          <w:szCs w:val="28"/>
          <w:highlight w:val="none"/>
        </w:rPr>
      </w:pPr>
      <w:r>
        <w:rPr>
          <w:rFonts w:hint="eastAsia" w:ascii="仿宋_GB2312" w:hAnsi="仿宋_GB2312" w:eastAsia="仿宋_GB2312" w:cs="仿宋_GB2312"/>
          <w:b w:val="0"/>
          <w:sz w:val="28"/>
          <w:szCs w:val="28"/>
          <w:highlight w:val="none"/>
        </w:rPr>
        <w:t>为了确保中纺大厦</w:t>
      </w:r>
      <w:r>
        <w:rPr>
          <w:rFonts w:hint="eastAsia" w:ascii="仿宋_GB2312" w:hAnsi="仿宋_GB2312" w:eastAsia="仿宋_GB2312" w:cs="仿宋_GB2312"/>
          <w:b w:val="0"/>
          <w:bCs w:val="0"/>
          <w:sz w:val="28"/>
          <w:szCs w:val="28"/>
          <w:highlight w:val="none"/>
          <w:lang w:val="en-US" w:eastAsia="zh-CN"/>
        </w:rPr>
        <w:t>B2污水处理设备</w:t>
      </w:r>
      <w:r>
        <w:rPr>
          <w:rFonts w:hint="eastAsia" w:ascii="仿宋_GB2312" w:hAnsi="仿宋_GB2312" w:eastAsia="仿宋_GB2312" w:cs="仿宋_GB2312"/>
          <w:b w:val="0"/>
          <w:sz w:val="28"/>
          <w:szCs w:val="28"/>
          <w:highlight w:val="none"/>
        </w:rPr>
        <w:t>维护保养全过程的安全管理，杜绝发生安全生产事故，根据《</w:t>
      </w:r>
      <w:r>
        <w:rPr>
          <w:rFonts w:hint="eastAsia" w:ascii="仿宋_GB2312" w:hAnsi="仿宋_GB2312" w:eastAsia="仿宋_GB2312" w:cs="仿宋_GB2312"/>
          <w:b w:val="0"/>
          <w:sz w:val="28"/>
          <w:szCs w:val="28"/>
          <w:highlight w:val="none"/>
          <w:lang w:eastAsia="zh-CN"/>
        </w:rPr>
        <w:t>中华人民共和国安全生产法</w:t>
      </w:r>
      <w:r>
        <w:rPr>
          <w:rFonts w:hint="eastAsia" w:ascii="仿宋_GB2312" w:hAnsi="仿宋_GB2312" w:eastAsia="仿宋_GB2312" w:cs="仿宋_GB2312"/>
          <w:b w:val="0"/>
          <w:sz w:val="28"/>
          <w:szCs w:val="28"/>
          <w:highlight w:val="none"/>
        </w:rPr>
        <w:t>》、《</w:t>
      </w:r>
      <w:r>
        <w:rPr>
          <w:rFonts w:hint="eastAsia" w:ascii="仿宋_GB2312" w:hAnsi="仿宋_GB2312" w:eastAsia="仿宋_GB2312" w:cs="仿宋_GB2312"/>
          <w:b w:val="0"/>
          <w:sz w:val="28"/>
          <w:szCs w:val="28"/>
          <w:highlight w:val="none"/>
          <w:lang w:eastAsia="zh-CN"/>
        </w:rPr>
        <w:t>中华人民共和国民法典</w:t>
      </w:r>
      <w:r>
        <w:rPr>
          <w:rFonts w:hint="eastAsia" w:ascii="仿宋_GB2312" w:hAnsi="仿宋_GB2312" w:eastAsia="仿宋_GB2312" w:cs="仿宋_GB2312"/>
          <w:b w:val="0"/>
          <w:sz w:val="28"/>
          <w:szCs w:val="28"/>
          <w:highlight w:val="none"/>
        </w:rPr>
        <w:t>》、《建设工程安全生产管理条例》等法律法规和甲方承包商制度要求，依据双方签订的</w:t>
      </w:r>
      <w:r>
        <w:rPr>
          <w:rFonts w:hint="eastAsia" w:ascii="仿宋_GB2312" w:hAnsi="仿宋_GB2312" w:eastAsia="仿宋_GB2312" w:cs="仿宋_GB2312"/>
          <w:b w:val="0"/>
          <w:sz w:val="28"/>
          <w:szCs w:val="28"/>
          <w:highlight w:val="none"/>
          <w:lang w:eastAsia="zh-CN"/>
        </w:rPr>
        <w:t>《中纺大厦B2层污水处理设备维护维修保养合同》（以下简称“维护保养合同”）</w:t>
      </w:r>
      <w:r>
        <w:rPr>
          <w:rFonts w:hint="eastAsia" w:ascii="仿宋_GB2312" w:hAnsi="仿宋_GB2312" w:eastAsia="仿宋_GB2312" w:cs="仿宋_GB2312"/>
          <w:b w:val="0"/>
          <w:sz w:val="28"/>
          <w:szCs w:val="28"/>
          <w:highlight w:val="none"/>
        </w:rPr>
        <w:t>，对甲乙双方的安全生产责任、权利规定如下：</w:t>
      </w:r>
    </w:p>
    <w:p w14:paraId="6405C353">
      <w:pPr>
        <w:adjustRightInd w:val="0"/>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 甲方的职责、权利</w:t>
      </w:r>
    </w:p>
    <w:p w14:paraId="0DB1758F">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 甲方职责</w:t>
      </w:r>
    </w:p>
    <w:p w14:paraId="4F53524C">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甲方有责任监督乙方遵守甲方要求，进行承包商全生命周期管理。</w:t>
      </w:r>
    </w:p>
    <w:p w14:paraId="6E99F227">
      <w:pPr>
        <w:numPr>
          <w:ilvl w:val="2"/>
          <w:numId w:val="3"/>
        </w:numPr>
        <w:snapToGrid w:val="0"/>
        <w:spacing w:line="575" w:lineRule="exact"/>
        <w:ind w:left="840" w:hanging="84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作业前管理要求</w:t>
      </w:r>
    </w:p>
    <w:p w14:paraId="6FFBBE4F">
      <w:pPr>
        <w:widowControl/>
        <w:snapToGrid w:val="0"/>
        <w:spacing w:line="575" w:lineRule="exact"/>
        <w:rPr>
          <w:rFonts w:hint="eastAsia" w:ascii="仿宋_GB2312" w:hAnsi="仿宋_GB2312" w:eastAsia="仿宋_GB2312" w:cs="仿宋_GB2312"/>
          <w:kern w:val="36"/>
          <w:sz w:val="28"/>
          <w:szCs w:val="28"/>
          <w:highlight w:val="none"/>
        </w:rPr>
      </w:pPr>
      <w:r>
        <w:rPr>
          <w:rFonts w:hint="eastAsia" w:ascii="仿宋_GB2312" w:hAnsi="仿宋_GB2312" w:eastAsia="仿宋_GB2312" w:cs="仿宋_GB2312"/>
          <w:sz w:val="28"/>
          <w:szCs w:val="28"/>
          <w:highlight w:val="none"/>
          <w:lang w:val="zh-CN" w:bidi="zh-CN"/>
        </w:rPr>
        <w:t>开展作业前准入资质核验，</w:t>
      </w:r>
      <w:r>
        <w:rPr>
          <w:rFonts w:hint="eastAsia" w:ascii="仿宋_GB2312" w:hAnsi="仿宋_GB2312" w:eastAsia="仿宋_GB2312" w:cs="仿宋_GB2312"/>
          <w:sz w:val="28"/>
          <w:szCs w:val="28"/>
          <w:highlight w:val="none"/>
        </w:rPr>
        <w:t>对乙方人员进行进场施工前安全交底</w:t>
      </w:r>
      <w:r>
        <w:rPr>
          <w:rFonts w:hint="eastAsia" w:ascii="仿宋_GB2312" w:hAnsi="仿宋_GB2312" w:eastAsia="仿宋_GB2312" w:cs="仿宋_GB2312"/>
          <w:kern w:val="36"/>
          <w:sz w:val="28"/>
          <w:szCs w:val="28"/>
          <w:highlight w:val="none"/>
        </w:rPr>
        <w:t>。</w:t>
      </w:r>
    </w:p>
    <w:p w14:paraId="5776D26E">
      <w:pPr>
        <w:widowControl/>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——负责</w:t>
      </w:r>
      <w:r>
        <w:rPr>
          <w:rFonts w:hint="eastAsia" w:ascii="仿宋_GB2312" w:hAnsi="仿宋_GB2312" w:eastAsia="仿宋_GB2312" w:cs="仿宋_GB2312"/>
          <w:kern w:val="36"/>
          <w:sz w:val="28"/>
          <w:szCs w:val="28"/>
          <w:highlight w:val="none"/>
        </w:rPr>
        <w:t>审核乙方承包资质证件及提供的各类无事故证明、保险、安全培训、作业方案、现场应急处置方案等文件资料</w:t>
      </w:r>
      <w:r>
        <w:rPr>
          <w:rFonts w:hint="eastAsia" w:ascii="仿宋_GB2312" w:hAnsi="仿宋_GB2312" w:eastAsia="仿宋_GB2312" w:cs="仿宋_GB2312"/>
          <w:sz w:val="28"/>
          <w:szCs w:val="28"/>
          <w:highlight w:val="none"/>
        </w:rPr>
        <w:t>。</w:t>
      </w:r>
    </w:p>
    <w:p w14:paraId="6C7B0C38">
      <w:pPr>
        <w:widowControl/>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——核验乙方安全管理人员配备情况及相应安全（厂家培训）资格证书；——负责对乙方人员进行安全风险交底；</w:t>
      </w:r>
    </w:p>
    <w:p w14:paraId="14D2E91C">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1.1.2 作业中管理要求</w:t>
      </w:r>
    </w:p>
    <w:p w14:paraId="4E6B641E">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建立信息交流机制，开展作业监督检查，监督办理危险作业等作业许可，协调应急处置。</w:t>
      </w:r>
    </w:p>
    <w:p w14:paraId="1BC6F028">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——监督检查乙方作业现场风险管控措施和危险作业的方案落实情况，并督促整改闭环。</w:t>
      </w:r>
    </w:p>
    <w:p w14:paraId="4599E85F">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——负责协调乙方现场安全生产事故应急救援工作，充分调动甲乙双方的应急资源。</w:t>
      </w:r>
    </w:p>
    <w:p w14:paraId="4F5BA23F">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——对承包商危险作业实施许可管理；按照变更作业相关制度实施变更作业管理；</w:t>
      </w:r>
    </w:p>
    <w:p w14:paraId="427413E1">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——两个以上承包商在同一作业区域内作业，一方可能危及对方生产安全的，组织签订安全生产管理协议，明确各自的安全生产管理职责和应当采取的安全措施，并指定专人进行安全检查与协调指挥。</w:t>
      </w:r>
    </w:p>
    <w:p w14:paraId="5F6F026A">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1.1.3作业后管理要求</w:t>
      </w:r>
    </w:p>
    <w:p w14:paraId="241E342E">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lang w:eastAsia="zh-CN"/>
        </w:rPr>
        <w:t>组织</w:t>
      </w:r>
      <w:r>
        <w:rPr>
          <w:rFonts w:hint="eastAsia" w:ascii="仿宋_GB2312" w:hAnsi="仿宋_GB2312" w:eastAsia="仿宋_GB2312" w:cs="仿宋_GB2312"/>
          <w:sz w:val="28"/>
          <w:szCs w:val="28"/>
          <w:highlight w:val="none"/>
        </w:rPr>
        <w:t>乙方按照甲方承包商考核评价相关要求进行考核评价，开展项目验收。</w:t>
      </w:r>
    </w:p>
    <w:p w14:paraId="4513B953">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 权利</w:t>
      </w:r>
    </w:p>
    <w:p w14:paraId="7F6574B2">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1.2.1 有权否决乙方的分包方案。</w:t>
      </w:r>
    </w:p>
    <w:p w14:paraId="64B1CE1A">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1.2.3 有权对乙方现场安全工作不称职的现场负责人、安全管理负责人和作业人员，提出约谈、警告、调离岗位</w:t>
      </w:r>
      <w:r>
        <w:rPr>
          <w:rFonts w:hint="eastAsia" w:ascii="仿宋_GB2312" w:hAnsi="仿宋_GB2312" w:eastAsia="仿宋_GB2312" w:cs="仿宋_GB2312"/>
          <w:sz w:val="28"/>
          <w:szCs w:val="28"/>
          <w:highlight w:val="none"/>
          <w:lang w:eastAsia="zh-CN"/>
        </w:rPr>
        <w:t>直至</w:t>
      </w:r>
      <w:r>
        <w:rPr>
          <w:rFonts w:hint="eastAsia" w:ascii="仿宋_GB2312" w:hAnsi="仿宋_GB2312" w:eastAsia="仿宋_GB2312" w:cs="仿宋_GB2312"/>
          <w:sz w:val="28"/>
          <w:szCs w:val="28"/>
          <w:highlight w:val="none"/>
        </w:rPr>
        <w:t>撤换等要求。</w:t>
      </w:r>
    </w:p>
    <w:p w14:paraId="1894EF0F">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1.2.4 有权制止并纠正乙方作业现场的“三违”行为，遇到危及安全生产的紧急情况，有权下令停止作业。</w:t>
      </w:r>
    </w:p>
    <w:p w14:paraId="49A13B26">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1.2.5 乙</w:t>
      </w:r>
      <w:r>
        <w:rPr>
          <w:rFonts w:hint="eastAsia" w:ascii="仿宋_GB2312" w:hAnsi="仿宋_GB2312" w:eastAsia="仿宋_GB2312" w:cs="仿宋_GB2312"/>
          <w:sz w:val="28"/>
          <w:szCs w:val="28"/>
          <w:highlight w:val="none"/>
          <w:lang w:eastAsia="zh-CN"/>
        </w:rPr>
        <w:t>方在</w:t>
      </w:r>
      <w:r>
        <w:rPr>
          <w:rFonts w:hint="eastAsia" w:ascii="仿宋_GB2312" w:hAnsi="仿宋_GB2312" w:eastAsia="仿宋_GB2312" w:cs="仿宋_GB2312"/>
          <w:sz w:val="28"/>
          <w:szCs w:val="28"/>
          <w:highlight w:val="none"/>
        </w:rPr>
        <w:t>实施过程中违反国家有关法律法规的，甲方有权决定解除与乙方之间的合同及本协议。</w:t>
      </w:r>
    </w:p>
    <w:p w14:paraId="6AC42183">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1.2.6 有权要求乙方遵守并执行甲方制定或发布的安全方面的管理制度和要求。</w:t>
      </w:r>
    </w:p>
    <w:p w14:paraId="793E5661">
      <w:pPr>
        <w:adjustRightInd w:val="0"/>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 乙方的职责、权利</w:t>
      </w:r>
    </w:p>
    <w:p w14:paraId="08E0F283">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 xml:space="preserve">2.1 乙方责任 </w:t>
      </w:r>
    </w:p>
    <w:p w14:paraId="32B06CC2">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乙方按照甲方承包商管理制度要求，提供相关资料文件，对资料的真实性、有效性、合法性负责。安全合规有序开展作业，确保项目满足质量及使用要求。</w:t>
      </w:r>
    </w:p>
    <w:p w14:paraId="3BA8FFE8">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2.1.1作业前工作要求</w:t>
      </w:r>
    </w:p>
    <w:p w14:paraId="3D6A4553">
      <w:pPr>
        <w:snapToGrid w:val="0"/>
        <w:spacing w:line="575" w:lineRule="exact"/>
        <w:ind w:firstLine="630" w:firstLineChars="225"/>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提供企业相关信息，签订安全协议，接受安全条件审查，开展安全培训交底工作。</w:t>
      </w:r>
    </w:p>
    <w:p w14:paraId="5807766E">
      <w:pPr>
        <w:widowControl/>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——提交</w:t>
      </w:r>
      <w:r>
        <w:rPr>
          <w:rFonts w:hint="eastAsia" w:ascii="仿宋_GB2312" w:hAnsi="仿宋_GB2312" w:eastAsia="仿宋_GB2312" w:cs="仿宋_GB2312"/>
          <w:kern w:val="36"/>
          <w:sz w:val="28"/>
          <w:szCs w:val="28"/>
          <w:highlight w:val="none"/>
        </w:rPr>
        <w:t>资质证件、无事故证明、人员保险、人员资格证书、安全培训、作业方案、现场处置方案等文件资料</w:t>
      </w:r>
      <w:r>
        <w:rPr>
          <w:rFonts w:hint="eastAsia" w:ascii="仿宋_GB2312" w:hAnsi="仿宋_GB2312" w:eastAsia="仿宋_GB2312" w:cs="仿宋_GB2312"/>
          <w:sz w:val="28"/>
          <w:szCs w:val="28"/>
          <w:highlight w:val="none"/>
        </w:rPr>
        <w:t>，并对真实性、有效性和合法性负责。</w:t>
      </w:r>
    </w:p>
    <w:p w14:paraId="7F836C80">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——配备安全管理人员（持安全员证）；</w:t>
      </w:r>
    </w:p>
    <w:p w14:paraId="68AA4E1B">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——配备作业设备设施、工具、物料、劳动保护用品等物品，并对符合性、安全性和完好性负责；</w:t>
      </w:r>
    </w:p>
    <w:p w14:paraId="6610CB39">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——负责对乙方作业人员进行安全风险交底；</w:t>
      </w:r>
    </w:p>
    <w:p w14:paraId="6325E7AB">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——严禁违法分包和挂靠资质。如违反，则甲方有权决定解除与乙方之间的合同及本协议。</w:t>
      </w:r>
    </w:p>
    <w:p w14:paraId="26CD84E3">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2.1.2作业中管理要求</w:t>
      </w:r>
    </w:p>
    <w:p w14:paraId="692CA2A5">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按照甲方要求参加值班例会或项目例会，按时提报每天的工作计划或作业任务，定期开展安全检查并整改关闭，按照规定办理危险作业等作业许可，开展安全事故应急处置。</w:t>
      </w:r>
    </w:p>
    <w:p w14:paraId="34A5AF52">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禁止擅自改变每日作业活动的性质、范围和条件，禁止在作业任务规定时间之外开展作业，禁止在无人监管的情况下开展作业。</w:t>
      </w:r>
    </w:p>
    <w:p w14:paraId="501A3946">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——负责提报的《年度维保计划》；</w:t>
      </w:r>
    </w:p>
    <w:p w14:paraId="192C46F9">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——按照施工方案落实风险管控措施；</w:t>
      </w:r>
    </w:p>
    <w:p w14:paraId="06394A18">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——负责指挥现场安全生产事故应急救援工作，并及时向甲方报告，并积极配合甲方的应急指挥、协调事故救援工作。</w:t>
      </w:r>
    </w:p>
    <w:p w14:paraId="6DC25353">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——乙方应强化安全意识，做好安全管理工作。每日作业前应对参与本项目作业的人员身体状况进行检查，如有人员患病、饮酒及其他身体不适的，不得参与当日作业。</w:t>
      </w:r>
    </w:p>
    <w:p w14:paraId="3D8A891E">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——按照甲方制度要求，危险作业办理许可方可作业；按照甲方变更作业相关制度实施变更作业管理；</w:t>
      </w:r>
    </w:p>
    <w:p w14:paraId="26860C18">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——特种作业人员须持有与作业相应的、合格的特种作业证，特种设备操作人员需持有效的特种设备操作员证；</w:t>
      </w:r>
    </w:p>
    <w:p w14:paraId="0D0F408D">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——现场存在交叉作业时，应服从甲方协调、指挥。</w:t>
      </w:r>
    </w:p>
    <w:p w14:paraId="6F5400CF">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——施工过程中，存在重大变更（方案、工具、人员等）或重大隐患、事故征兆以及事故的情况，应及时、如实报告甲方。</w:t>
      </w:r>
    </w:p>
    <w:p w14:paraId="05615555">
      <w:pPr>
        <w:widowControl/>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——涉及危大工程的，根据《危险性较大的分部分项工程安全管理规定》及甲方相关制度标准，组织编制危大工程专项施工方案。</w:t>
      </w:r>
    </w:p>
    <w:p w14:paraId="0FFF8B40">
      <w:pPr>
        <w:widowControl/>
        <w:jc w:val="lef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——作业过程中违反国家和地方政府有关法律法规、甲方安全管理相关制度规定造成损失的，承担相应责任，若因此给甲方造成损失或处罚的，承担经济损失。</w:t>
      </w:r>
    </w:p>
    <w:p w14:paraId="49D9F019">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——作业过程中严禁使用国家明令禁止使用或耗能大、对环境造成较大破坏的设备设施，运输车辆需符合排放标准要求，作业现场需做好防扬撒措施，规范处置作业过程中产生的固废、危废。</w:t>
      </w:r>
    </w:p>
    <w:p w14:paraId="79A95F51">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2.1.3作业后管理要求</w:t>
      </w:r>
    </w:p>
    <w:p w14:paraId="5C93C299">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对甲方提供的技术资料保密，并提供真实有效的竣工验收资料。</w:t>
      </w:r>
    </w:p>
    <w:p w14:paraId="6DB52CF4">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——对甲方提供的技术资料的保密性负责；</w:t>
      </w:r>
    </w:p>
    <w:p w14:paraId="6DB7F0FD">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——对提交竣工验收相关资料的真实性负责。</w:t>
      </w:r>
    </w:p>
    <w:p w14:paraId="4D4AE2CF">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2.2 权利</w:t>
      </w:r>
    </w:p>
    <w:p w14:paraId="7D99B0B3">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2.2.1 有权拒绝甲方的违章指挥、强令冒险作业要求。</w:t>
      </w:r>
    </w:p>
    <w:p w14:paraId="6D9C1D13">
      <w:pPr>
        <w:adjustRightInd w:val="0"/>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 违约追偿</w:t>
      </w:r>
    </w:p>
    <w:p w14:paraId="73DE715E">
      <w:pPr>
        <w:snapToGrid w:val="0"/>
        <w:spacing w:line="575" w:lineRule="exact"/>
        <w:ind w:firstLine="560" w:firstLineChars="2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违反相关规定、约定，甲方有权按照违约事项，要求乙方在规定的期限内支付违约金并承担违约责任，如甲方要求的期限内未上交违约金的，甲方有权在工程款中双倍扣除。违约事项及违约金标准详见附表《安全文明施工现场违约情形及违约金》。</w:t>
      </w:r>
    </w:p>
    <w:p w14:paraId="60623E77">
      <w:pPr>
        <w:adjustRightInd w:val="0"/>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4 协议有效期</w:t>
      </w:r>
    </w:p>
    <w:p w14:paraId="4BA4A787">
      <w:pPr>
        <w:pStyle w:val="12"/>
        <w:snapToGrid w:val="0"/>
        <w:spacing w:after="0" w:line="575" w:lineRule="exact"/>
        <w:ind w:firstLine="596" w:firstLineChars="213"/>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本协议有效期与</w:t>
      </w:r>
      <w:r>
        <w:rPr>
          <w:rFonts w:hint="eastAsia" w:ascii="仿宋_GB2312" w:hAnsi="仿宋_GB2312" w:eastAsia="仿宋_GB2312" w:cs="仿宋_GB2312"/>
          <w:bCs/>
          <w:sz w:val="28"/>
          <w:szCs w:val="28"/>
          <w:highlight w:val="none"/>
        </w:rPr>
        <w:t>维护保养</w:t>
      </w:r>
      <w:r>
        <w:rPr>
          <w:rFonts w:hint="eastAsia" w:ascii="仿宋_GB2312" w:hAnsi="仿宋_GB2312" w:eastAsia="仿宋_GB2312" w:cs="仿宋_GB2312"/>
          <w:sz w:val="28"/>
          <w:szCs w:val="28"/>
          <w:highlight w:val="none"/>
        </w:rPr>
        <w:t>合同一致，到期后双方尚有</w:t>
      </w:r>
      <w:r>
        <w:rPr>
          <w:rFonts w:hint="eastAsia" w:ascii="仿宋_GB2312" w:hAnsi="仿宋_GB2312" w:eastAsia="仿宋_GB2312" w:cs="仿宋_GB2312"/>
          <w:bCs/>
          <w:sz w:val="28"/>
          <w:szCs w:val="28"/>
          <w:highlight w:val="none"/>
        </w:rPr>
        <w:t>维护保养</w:t>
      </w:r>
      <w:r>
        <w:rPr>
          <w:rFonts w:hint="eastAsia" w:ascii="仿宋_GB2312" w:hAnsi="仿宋_GB2312" w:eastAsia="仿宋_GB2312" w:cs="仿宋_GB2312"/>
          <w:sz w:val="28"/>
          <w:szCs w:val="28"/>
          <w:highlight w:val="none"/>
        </w:rPr>
        <w:t>合同的权利义务未履行完毕的，协议有效期延续至</w:t>
      </w:r>
      <w:r>
        <w:rPr>
          <w:rFonts w:hint="eastAsia" w:ascii="仿宋_GB2312" w:hAnsi="仿宋_GB2312" w:eastAsia="仿宋_GB2312" w:cs="仿宋_GB2312"/>
          <w:bCs/>
          <w:sz w:val="28"/>
          <w:szCs w:val="28"/>
          <w:highlight w:val="none"/>
        </w:rPr>
        <w:t>维护保养</w:t>
      </w:r>
      <w:r>
        <w:rPr>
          <w:rFonts w:hint="eastAsia" w:ascii="仿宋_GB2312" w:hAnsi="仿宋_GB2312" w:eastAsia="仿宋_GB2312" w:cs="仿宋_GB2312"/>
          <w:sz w:val="28"/>
          <w:szCs w:val="28"/>
          <w:highlight w:val="none"/>
        </w:rPr>
        <w:t>合同履行完毕时止。</w:t>
      </w:r>
    </w:p>
    <w:p w14:paraId="376A3323">
      <w:pPr>
        <w:adjustRightInd w:val="0"/>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5 协议效力</w:t>
      </w:r>
    </w:p>
    <w:p w14:paraId="0CD96694">
      <w:pPr>
        <w:snapToGrid w:val="0"/>
        <w:spacing w:line="575" w:lineRule="exact"/>
        <w:ind w:firstLine="596" w:firstLineChars="213"/>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本协议为</w:t>
      </w:r>
      <w:r>
        <w:rPr>
          <w:rFonts w:hint="eastAsia" w:ascii="仿宋_GB2312" w:hAnsi="仿宋_GB2312" w:eastAsia="仿宋_GB2312" w:cs="仿宋_GB2312"/>
          <w:bCs/>
          <w:sz w:val="28"/>
          <w:szCs w:val="28"/>
          <w:highlight w:val="none"/>
        </w:rPr>
        <w:t>维护保养合同的附件，</w:t>
      </w:r>
      <w:r>
        <w:rPr>
          <w:rFonts w:hint="eastAsia" w:ascii="仿宋_GB2312" w:hAnsi="仿宋_GB2312" w:eastAsia="仿宋_GB2312" w:cs="仿宋_GB2312"/>
          <w:sz w:val="28"/>
          <w:szCs w:val="28"/>
          <w:highlight w:val="none"/>
        </w:rPr>
        <w:t>与</w:t>
      </w:r>
      <w:r>
        <w:rPr>
          <w:rFonts w:hint="eastAsia" w:ascii="仿宋_GB2312" w:hAnsi="仿宋_GB2312" w:eastAsia="仿宋_GB2312" w:cs="仿宋_GB2312"/>
          <w:bCs/>
          <w:sz w:val="28"/>
          <w:szCs w:val="28"/>
          <w:highlight w:val="none"/>
        </w:rPr>
        <w:t>维护保养</w:t>
      </w:r>
      <w:r>
        <w:rPr>
          <w:rFonts w:hint="eastAsia" w:ascii="仿宋_GB2312" w:hAnsi="仿宋_GB2312" w:eastAsia="仿宋_GB2312" w:cs="仿宋_GB2312"/>
          <w:sz w:val="28"/>
          <w:szCs w:val="28"/>
          <w:highlight w:val="none"/>
        </w:rPr>
        <w:t>合同具有同等效力。本协议一式两份，甲、乙双方各持一份，双方盖章后生效，具有同等的法律效力。</w:t>
      </w:r>
    </w:p>
    <w:p w14:paraId="14BCE147">
      <w:pPr>
        <w:snapToGrid w:val="0"/>
        <w:spacing w:line="575" w:lineRule="exact"/>
        <w:rPr>
          <w:rFonts w:hint="eastAsia" w:ascii="仿宋_GB2312" w:hAnsi="仿宋_GB2312" w:eastAsia="仿宋_GB2312" w:cs="仿宋_GB2312"/>
          <w:sz w:val="28"/>
          <w:szCs w:val="28"/>
          <w:highlight w:val="none"/>
        </w:rPr>
      </w:pPr>
    </w:p>
    <w:p w14:paraId="3885ADD3">
      <w:pPr>
        <w:snapToGrid w:val="0"/>
        <w:spacing w:line="575" w:lineRule="exact"/>
        <w:ind w:firstLine="840" w:firstLineChars="300"/>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甲方（盖章）：                乙方（盖章）：</w:t>
      </w:r>
    </w:p>
    <w:p w14:paraId="5590D6B1">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 xml:space="preserve">      年   月   日                  年   月   日</w:t>
      </w:r>
    </w:p>
    <w:p w14:paraId="338F4932">
      <w:pPr>
        <w:snapToGrid w:val="0"/>
        <w:spacing w:line="575" w:lineRule="exact"/>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br w:type="page"/>
      </w:r>
      <w:r>
        <w:rPr>
          <w:rFonts w:hint="eastAsia" w:ascii="仿宋_GB2312" w:hAnsi="仿宋_GB2312" w:eastAsia="仿宋_GB2312" w:cs="仿宋_GB2312"/>
          <w:sz w:val="28"/>
          <w:szCs w:val="28"/>
          <w:highlight w:val="none"/>
        </w:rPr>
        <w:t>附表：安全文明施工现场违约情形及违约金</w:t>
      </w:r>
    </w:p>
    <w:tbl>
      <w:tblPr>
        <w:tblStyle w:val="13"/>
        <w:tblW w:w="969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1"/>
        <w:gridCol w:w="6079"/>
        <w:gridCol w:w="2288"/>
      </w:tblGrid>
      <w:tr w14:paraId="7BF06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trPr>
        <w:tc>
          <w:tcPr>
            <w:tcW w:w="1331" w:type="dxa"/>
            <w:noWrap/>
            <w:vAlign w:val="center"/>
          </w:tcPr>
          <w:p w14:paraId="4A6EAB09">
            <w:pPr>
              <w:jc w:val="center"/>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项目</w:t>
            </w:r>
          </w:p>
        </w:tc>
        <w:tc>
          <w:tcPr>
            <w:tcW w:w="6079" w:type="dxa"/>
            <w:noWrap/>
            <w:vAlign w:val="center"/>
          </w:tcPr>
          <w:p w14:paraId="56743D8A">
            <w:pPr>
              <w:jc w:val="center"/>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违反文明安全施工行为</w:t>
            </w:r>
          </w:p>
        </w:tc>
        <w:tc>
          <w:tcPr>
            <w:tcW w:w="2288" w:type="dxa"/>
            <w:noWrap/>
            <w:vAlign w:val="center"/>
          </w:tcPr>
          <w:p w14:paraId="79D1D5C3">
            <w:pPr>
              <w:jc w:val="center"/>
              <w:rPr>
                <w:rFonts w:hint="eastAsia" w:ascii="仿宋_GB2312" w:hAnsi="仿宋_GB2312" w:eastAsia="仿宋_GB2312" w:cs="仿宋_GB2312"/>
                <w:b/>
                <w:bCs/>
                <w:sz w:val="28"/>
                <w:szCs w:val="28"/>
                <w:highlight w:val="none"/>
              </w:rPr>
            </w:pPr>
            <w:r>
              <w:rPr>
                <w:rFonts w:hint="eastAsia" w:ascii="仿宋_GB2312" w:hAnsi="仿宋_GB2312" w:eastAsia="仿宋_GB2312" w:cs="仿宋_GB2312"/>
                <w:b/>
                <w:bCs/>
                <w:sz w:val="28"/>
                <w:szCs w:val="28"/>
                <w:highlight w:val="none"/>
              </w:rPr>
              <w:t>违约金</w:t>
            </w:r>
          </w:p>
        </w:tc>
      </w:tr>
      <w:tr w14:paraId="52FE4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restart"/>
            <w:noWrap/>
            <w:vAlign w:val="center"/>
          </w:tcPr>
          <w:p w14:paraId="38E9C117">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一、安全防护</w:t>
            </w:r>
          </w:p>
        </w:tc>
        <w:tc>
          <w:tcPr>
            <w:tcW w:w="6079" w:type="dxa"/>
            <w:noWrap/>
            <w:vAlign w:val="center"/>
          </w:tcPr>
          <w:p w14:paraId="28181B9A">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1.作业时未穿戴相应合规的防护用品</w:t>
            </w:r>
          </w:p>
        </w:tc>
        <w:tc>
          <w:tcPr>
            <w:tcW w:w="2288" w:type="dxa"/>
            <w:noWrap/>
            <w:vAlign w:val="center"/>
          </w:tcPr>
          <w:p w14:paraId="4C202CD5">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100元∕人∕次</w:t>
            </w:r>
          </w:p>
        </w:tc>
      </w:tr>
      <w:tr w14:paraId="18FB1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42255A07">
            <w:pPr>
              <w:rPr>
                <w:rFonts w:hint="eastAsia" w:ascii="仿宋_GB2312" w:hAnsi="仿宋_GB2312" w:eastAsia="仿宋_GB2312" w:cs="仿宋_GB2312"/>
                <w:sz w:val="28"/>
                <w:szCs w:val="28"/>
                <w:highlight w:val="none"/>
              </w:rPr>
            </w:pPr>
          </w:p>
        </w:tc>
        <w:tc>
          <w:tcPr>
            <w:tcW w:w="6079" w:type="dxa"/>
            <w:noWrap/>
            <w:vAlign w:val="center"/>
          </w:tcPr>
          <w:p w14:paraId="2FE2919B">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2.脚手架拆装无防护措施；</w:t>
            </w:r>
          </w:p>
        </w:tc>
        <w:tc>
          <w:tcPr>
            <w:tcW w:w="2288" w:type="dxa"/>
            <w:noWrap/>
            <w:vAlign w:val="center"/>
          </w:tcPr>
          <w:p w14:paraId="492EDA3D">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500元∕人∕次</w:t>
            </w:r>
          </w:p>
        </w:tc>
      </w:tr>
      <w:tr w14:paraId="694CF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2D5D1BCB">
            <w:pPr>
              <w:rPr>
                <w:rFonts w:hint="eastAsia" w:ascii="仿宋_GB2312" w:hAnsi="仿宋_GB2312" w:eastAsia="仿宋_GB2312" w:cs="仿宋_GB2312"/>
                <w:sz w:val="28"/>
                <w:szCs w:val="28"/>
                <w:highlight w:val="none"/>
              </w:rPr>
            </w:pPr>
          </w:p>
        </w:tc>
        <w:tc>
          <w:tcPr>
            <w:tcW w:w="6079" w:type="dxa"/>
            <w:noWrap/>
            <w:vAlign w:val="center"/>
          </w:tcPr>
          <w:p w14:paraId="534EF9EC">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3.使用未检验合格的防护用品或防护用品失效；</w:t>
            </w:r>
          </w:p>
        </w:tc>
        <w:tc>
          <w:tcPr>
            <w:tcW w:w="2288" w:type="dxa"/>
            <w:noWrap/>
            <w:vAlign w:val="center"/>
          </w:tcPr>
          <w:p w14:paraId="2254B911">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44ED0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331" w:type="dxa"/>
            <w:vMerge w:val="continue"/>
            <w:noWrap/>
            <w:vAlign w:val="center"/>
          </w:tcPr>
          <w:p w14:paraId="68032C8D">
            <w:pPr>
              <w:rPr>
                <w:rFonts w:hint="eastAsia" w:ascii="仿宋_GB2312" w:hAnsi="仿宋_GB2312" w:eastAsia="仿宋_GB2312" w:cs="仿宋_GB2312"/>
                <w:sz w:val="28"/>
                <w:szCs w:val="28"/>
                <w:highlight w:val="none"/>
              </w:rPr>
            </w:pPr>
          </w:p>
        </w:tc>
        <w:tc>
          <w:tcPr>
            <w:tcW w:w="6079" w:type="dxa"/>
            <w:noWrap/>
            <w:vAlign w:val="center"/>
          </w:tcPr>
          <w:p w14:paraId="11DC8749">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4.临边洞口无防护措施；</w:t>
            </w:r>
          </w:p>
        </w:tc>
        <w:tc>
          <w:tcPr>
            <w:tcW w:w="2288" w:type="dxa"/>
            <w:noWrap/>
            <w:vAlign w:val="center"/>
          </w:tcPr>
          <w:p w14:paraId="6ACAA811">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373683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restart"/>
            <w:noWrap/>
            <w:vAlign w:val="center"/>
          </w:tcPr>
          <w:p w14:paraId="421E1397">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二、文明施工</w:t>
            </w:r>
          </w:p>
        </w:tc>
        <w:tc>
          <w:tcPr>
            <w:tcW w:w="6079" w:type="dxa"/>
            <w:noWrap/>
            <w:vAlign w:val="center"/>
          </w:tcPr>
          <w:p w14:paraId="0E295833">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5.在大厦内吸烟的；</w:t>
            </w:r>
          </w:p>
        </w:tc>
        <w:tc>
          <w:tcPr>
            <w:tcW w:w="2288" w:type="dxa"/>
            <w:noWrap/>
            <w:vAlign w:val="center"/>
          </w:tcPr>
          <w:p w14:paraId="49786E4C">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500元∕人∕次</w:t>
            </w:r>
          </w:p>
        </w:tc>
      </w:tr>
      <w:tr w14:paraId="7F774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6" w:hRule="atLeast"/>
        </w:trPr>
        <w:tc>
          <w:tcPr>
            <w:tcW w:w="1331" w:type="dxa"/>
            <w:vMerge w:val="continue"/>
            <w:noWrap/>
            <w:vAlign w:val="center"/>
          </w:tcPr>
          <w:p w14:paraId="565E9BEF">
            <w:pPr>
              <w:rPr>
                <w:rFonts w:hint="eastAsia" w:ascii="仿宋_GB2312" w:hAnsi="仿宋_GB2312" w:eastAsia="仿宋_GB2312" w:cs="仿宋_GB2312"/>
                <w:sz w:val="28"/>
                <w:szCs w:val="28"/>
                <w:highlight w:val="none"/>
              </w:rPr>
            </w:pPr>
          </w:p>
        </w:tc>
        <w:tc>
          <w:tcPr>
            <w:tcW w:w="6079" w:type="dxa"/>
            <w:noWrap/>
            <w:vAlign w:val="center"/>
          </w:tcPr>
          <w:p w14:paraId="14360D53">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6.不文明作业（如：随地大小便、酒后上岗、吵骂打架、随意占用、堵塞道路、通道的）</w:t>
            </w:r>
          </w:p>
        </w:tc>
        <w:tc>
          <w:tcPr>
            <w:tcW w:w="2288" w:type="dxa"/>
            <w:noWrap/>
            <w:vAlign w:val="center"/>
          </w:tcPr>
          <w:p w14:paraId="4149DC53">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2936EE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0" w:hRule="atLeast"/>
        </w:trPr>
        <w:tc>
          <w:tcPr>
            <w:tcW w:w="1331" w:type="dxa"/>
            <w:vMerge w:val="continue"/>
            <w:noWrap/>
            <w:vAlign w:val="center"/>
          </w:tcPr>
          <w:p w14:paraId="5CB1B96F">
            <w:pPr>
              <w:rPr>
                <w:rFonts w:hint="eastAsia" w:ascii="仿宋_GB2312" w:hAnsi="仿宋_GB2312" w:eastAsia="仿宋_GB2312" w:cs="仿宋_GB2312"/>
                <w:sz w:val="28"/>
                <w:szCs w:val="28"/>
                <w:highlight w:val="none"/>
              </w:rPr>
            </w:pPr>
          </w:p>
        </w:tc>
        <w:tc>
          <w:tcPr>
            <w:tcW w:w="6079" w:type="dxa"/>
            <w:noWrap/>
            <w:vAlign w:val="center"/>
          </w:tcPr>
          <w:p w14:paraId="21CE883E">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7.驾驶车辆超速的（门口及转弯处5公里/小时，厂内道路10公里/小时，厂前路20公里/小时）；</w:t>
            </w:r>
          </w:p>
        </w:tc>
        <w:tc>
          <w:tcPr>
            <w:tcW w:w="2288" w:type="dxa"/>
            <w:noWrap/>
            <w:vAlign w:val="center"/>
          </w:tcPr>
          <w:p w14:paraId="31998689">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0E2595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4C5A3B4E">
            <w:pPr>
              <w:rPr>
                <w:rFonts w:hint="eastAsia" w:ascii="仿宋_GB2312" w:hAnsi="仿宋_GB2312" w:eastAsia="仿宋_GB2312" w:cs="仿宋_GB2312"/>
                <w:sz w:val="28"/>
                <w:szCs w:val="28"/>
                <w:highlight w:val="none"/>
              </w:rPr>
            </w:pPr>
          </w:p>
        </w:tc>
        <w:tc>
          <w:tcPr>
            <w:tcW w:w="6079" w:type="dxa"/>
            <w:noWrap/>
            <w:vAlign w:val="center"/>
          </w:tcPr>
          <w:p w14:paraId="014BE8BC">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8.施工现场杂乱(如：严重脏、乱、差、垃圾未及时清理的</w:t>
            </w:r>
          </w:p>
        </w:tc>
        <w:tc>
          <w:tcPr>
            <w:tcW w:w="2288" w:type="dxa"/>
            <w:noWrap/>
            <w:vAlign w:val="center"/>
          </w:tcPr>
          <w:p w14:paraId="1065AA15">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613B28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1331" w:type="dxa"/>
            <w:vMerge w:val="continue"/>
            <w:noWrap/>
            <w:vAlign w:val="center"/>
          </w:tcPr>
          <w:p w14:paraId="60F69C99">
            <w:pPr>
              <w:rPr>
                <w:rFonts w:hint="eastAsia" w:ascii="仿宋_GB2312" w:hAnsi="仿宋_GB2312" w:eastAsia="仿宋_GB2312" w:cs="仿宋_GB2312"/>
                <w:sz w:val="28"/>
                <w:szCs w:val="28"/>
                <w:highlight w:val="none"/>
              </w:rPr>
            </w:pPr>
          </w:p>
        </w:tc>
        <w:tc>
          <w:tcPr>
            <w:tcW w:w="6079" w:type="dxa"/>
            <w:noWrap/>
            <w:vAlign w:val="center"/>
          </w:tcPr>
          <w:p w14:paraId="27A2D7D5">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9.未经许可，随意进入生产区域的；</w:t>
            </w:r>
          </w:p>
        </w:tc>
        <w:tc>
          <w:tcPr>
            <w:tcW w:w="2288" w:type="dxa"/>
            <w:noWrap/>
            <w:vAlign w:val="center"/>
          </w:tcPr>
          <w:p w14:paraId="24644066">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3F32F8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restart"/>
            <w:noWrap/>
            <w:vAlign w:val="center"/>
          </w:tcPr>
          <w:p w14:paraId="446ECA7E">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三、现场管理</w:t>
            </w:r>
          </w:p>
        </w:tc>
        <w:tc>
          <w:tcPr>
            <w:tcW w:w="6079" w:type="dxa"/>
            <w:noWrap/>
            <w:vAlign w:val="center"/>
          </w:tcPr>
          <w:p w14:paraId="35912516">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10.现场安全隐患未定期整改的；</w:t>
            </w:r>
          </w:p>
        </w:tc>
        <w:tc>
          <w:tcPr>
            <w:tcW w:w="2288" w:type="dxa"/>
            <w:noWrap/>
            <w:vAlign w:val="center"/>
          </w:tcPr>
          <w:p w14:paraId="2310E64C">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285C27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331" w:type="dxa"/>
            <w:vMerge w:val="continue"/>
            <w:noWrap/>
            <w:vAlign w:val="center"/>
          </w:tcPr>
          <w:p w14:paraId="601576E4">
            <w:pPr>
              <w:rPr>
                <w:rFonts w:hint="eastAsia" w:ascii="仿宋_GB2312" w:hAnsi="仿宋_GB2312" w:eastAsia="仿宋_GB2312" w:cs="仿宋_GB2312"/>
                <w:sz w:val="28"/>
                <w:szCs w:val="28"/>
                <w:highlight w:val="none"/>
              </w:rPr>
            </w:pPr>
          </w:p>
        </w:tc>
        <w:tc>
          <w:tcPr>
            <w:tcW w:w="6079" w:type="dxa"/>
            <w:noWrap/>
            <w:vAlign w:val="center"/>
          </w:tcPr>
          <w:p w14:paraId="6EDB2610">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11.现场作业未开具作业证就动工作业的（包含动火、吊装、高处、受限空间、临时用电等）；</w:t>
            </w:r>
          </w:p>
        </w:tc>
        <w:tc>
          <w:tcPr>
            <w:tcW w:w="2288" w:type="dxa"/>
            <w:noWrap/>
            <w:vAlign w:val="center"/>
          </w:tcPr>
          <w:p w14:paraId="76FB9F96">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1000元∕人∕次</w:t>
            </w:r>
          </w:p>
        </w:tc>
      </w:tr>
      <w:tr w14:paraId="3E88E8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50936132">
            <w:pPr>
              <w:rPr>
                <w:rFonts w:hint="eastAsia" w:ascii="仿宋_GB2312" w:hAnsi="仿宋_GB2312" w:eastAsia="仿宋_GB2312" w:cs="仿宋_GB2312"/>
                <w:sz w:val="28"/>
                <w:szCs w:val="28"/>
                <w:highlight w:val="none"/>
              </w:rPr>
            </w:pPr>
          </w:p>
        </w:tc>
        <w:tc>
          <w:tcPr>
            <w:tcW w:w="6079" w:type="dxa"/>
            <w:noWrap/>
            <w:vAlign w:val="center"/>
          </w:tcPr>
          <w:p w14:paraId="417402E9">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12.特种作业人员及特殊工种人员未持证上岗的；</w:t>
            </w:r>
          </w:p>
        </w:tc>
        <w:tc>
          <w:tcPr>
            <w:tcW w:w="2288" w:type="dxa"/>
            <w:noWrap/>
            <w:vAlign w:val="center"/>
          </w:tcPr>
          <w:p w14:paraId="77ABDECF">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1000元∕人∕次</w:t>
            </w:r>
          </w:p>
        </w:tc>
      </w:tr>
      <w:tr w14:paraId="28B44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trPr>
        <w:tc>
          <w:tcPr>
            <w:tcW w:w="1331" w:type="dxa"/>
            <w:vMerge w:val="restart"/>
            <w:noWrap/>
            <w:vAlign w:val="center"/>
          </w:tcPr>
          <w:p w14:paraId="5AF9ED9B">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四、电气安全</w:t>
            </w:r>
          </w:p>
        </w:tc>
        <w:tc>
          <w:tcPr>
            <w:tcW w:w="6079" w:type="dxa"/>
            <w:noWrap/>
            <w:vAlign w:val="center"/>
          </w:tcPr>
          <w:p w14:paraId="1F842578">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 xml:space="preserve">13.临时用电未采用三级配电、三相五线制、二级漏电保护系统；                                       </w:t>
            </w:r>
          </w:p>
        </w:tc>
        <w:tc>
          <w:tcPr>
            <w:tcW w:w="2288" w:type="dxa"/>
            <w:noWrap/>
            <w:vAlign w:val="center"/>
          </w:tcPr>
          <w:p w14:paraId="41785A6F">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0877D6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4DD0713F">
            <w:pPr>
              <w:rPr>
                <w:rFonts w:hint="eastAsia" w:ascii="仿宋_GB2312" w:hAnsi="仿宋_GB2312" w:eastAsia="仿宋_GB2312" w:cs="仿宋_GB2312"/>
                <w:sz w:val="28"/>
                <w:szCs w:val="28"/>
                <w:highlight w:val="none"/>
              </w:rPr>
            </w:pPr>
          </w:p>
        </w:tc>
        <w:tc>
          <w:tcPr>
            <w:tcW w:w="6079" w:type="dxa"/>
            <w:noWrap/>
            <w:vAlign w:val="center"/>
          </w:tcPr>
          <w:p w14:paraId="56C5C8B5">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14.未执行“一机、一闸、一漏”的规定；</w:t>
            </w:r>
          </w:p>
        </w:tc>
        <w:tc>
          <w:tcPr>
            <w:tcW w:w="2288" w:type="dxa"/>
            <w:noWrap/>
            <w:vAlign w:val="center"/>
          </w:tcPr>
          <w:p w14:paraId="6C61C47A">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6AE08E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10FB9409">
            <w:pPr>
              <w:rPr>
                <w:rFonts w:hint="eastAsia" w:ascii="仿宋_GB2312" w:hAnsi="仿宋_GB2312" w:eastAsia="仿宋_GB2312" w:cs="仿宋_GB2312"/>
                <w:sz w:val="28"/>
                <w:szCs w:val="28"/>
                <w:highlight w:val="none"/>
              </w:rPr>
            </w:pPr>
          </w:p>
        </w:tc>
        <w:tc>
          <w:tcPr>
            <w:tcW w:w="6079" w:type="dxa"/>
            <w:noWrap/>
            <w:vAlign w:val="center"/>
          </w:tcPr>
          <w:p w14:paraId="5916EC2C">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lang w:eastAsia="zh-CN"/>
              </w:rPr>
              <w:t>15.</w:t>
            </w:r>
            <w:r>
              <w:rPr>
                <w:rFonts w:hint="eastAsia" w:ascii="仿宋_GB2312" w:hAnsi="仿宋_GB2312" w:eastAsia="仿宋_GB2312" w:cs="仿宋_GB2312"/>
                <w:sz w:val="28"/>
                <w:szCs w:val="28"/>
                <w:highlight w:val="none"/>
              </w:rPr>
              <w:t>分配电箱与开关箱距离大于30米，开关箱与用电设备距离大于3米；</w:t>
            </w:r>
          </w:p>
        </w:tc>
        <w:tc>
          <w:tcPr>
            <w:tcW w:w="2288" w:type="dxa"/>
            <w:noWrap/>
            <w:vAlign w:val="center"/>
          </w:tcPr>
          <w:p w14:paraId="63097D30">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100元∕人∕次</w:t>
            </w:r>
          </w:p>
        </w:tc>
      </w:tr>
      <w:tr w14:paraId="4285E3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restart"/>
            <w:noWrap/>
            <w:vAlign w:val="center"/>
          </w:tcPr>
          <w:p w14:paraId="0E0F3DA3">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五、消防安全</w:t>
            </w:r>
          </w:p>
        </w:tc>
        <w:tc>
          <w:tcPr>
            <w:tcW w:w="6079" w:type="dxa"/>
            <w:noWrap/>
            <w:vAlign w:val="center"/>
          </w:tcPr>
          <w:p w14:paraId="74254C60">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16.氧气瓶与乙炔气瓶距离小于5米，二者距火源小于10米</w:t>
            </w:r>
          </w:p>
        </w:tc>
        <w:tc>
          <w:tcPr>
            <w:tcW w:w="2288" w:type="dxa"/>
            <w:noWrap/>
            <w:vAlign w:val="center"/>
          </w:tcPr>
          <w:p w14:paraId="4BDA97BB">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100元∕人∕次</w:t>
            </w:r>
          </w:p>
        </w:tc>
      </w:tr>
      <w:tr w14:paraId="61990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11D83B76">
            <w:pPr>
              <w:rPr>
                <w:rFonts w:hint="eastAsia" w:ascii="仿宋_GB2312" w:hAnsi="仿宋_GB2312" w:eastAsia="仿宋_GB2312" w:cs="仿宋_GB2312"/>
                <w:sz w:val="28"/>
                <w:szCs w:val="28"/>
                <w:highlight w:val="none"/>
              </w:rPr>
            </w:pPr>
          </w:p>
        </w:tc>
        <w:tc>
          <w:tcPr>
            <w:tcW w:w="6079" w:type="dxa"/>
            <w:noWrap/>
            <w:vAlign w:val="center"/>
          </w:tcPr>
          <w:p w14:paraId="75265653">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17.动用明火未配置消防器材的；</w:t>
            </w:r>
          </w:p>
        </w:tc>
        <w:tc>
          <w:tcPr>
            <w:tcW w:w="2288" w:type="dxa"/>
            <w:noWrap/>
            <w:vAlign w:val="center"/>
          </w:tcPr>
          <w:p w14:paraId="328F49B3">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60CB1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0F2B3156">
            <w:pPr>
              <w:rPr>
                <w:rFonts w:hint="eastAsia" w:ascii="仿宋_GB2312" w:hAnsi="仿宋_GB2312" w:eastAsia="仿宋_GB2312" w:cs="仿宋_GB2312"/>
                <w:sz w:val="28"/>
                <w:szCs w:val="28"/>
                <w:highlight w:val="none"/>
              </w:rPr>
            </w:pPr>
          </w:p>
        </w:tc>
        <w:tc>
          <w:tcPr>
            <w:tcW w:w="6079" w:type="dxa"/>
            <w:noWrap/>
            <w:vAlign w:val="center"/>
          </w:tcPr>
          <w:p w14:paraId="262B8B33">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18.氧气、乙炔瓶阳光下直晒；</w:t>
            </w:r>
          </w:p>
        </w:tc>
        <w:tc>
          <w:tcPr>
            <w:tcW w:w="2288" w:type="dxa"/>
            <w:noWrap/>
            <w:vAlign w:val="center"/>
          </w:tcPr>
          <w:p w14:paraId="6A67DC0A">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7A3ADA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6EBB2C38">
            <w:pPr>
              <w:rPr>
                <w:rFonts w:hint="eastAsia" w:ascii="仿宋_GB2312" w:hAnsi="仿宋_GB2312" w:eastAsia="仿宋_GB2312" w:cs="仿宋_GB2312"/>
                <w:sz w:val="28"/>
                <w:szCs w:val="28"/>
                <w:highlight w:val="none"/>
              </w:rPr>
            </w:pPr>
          </w:p>
        </w:tc>
        <w:tc>
          <w:tcPr>
            <w:tcW w:w="6079" w:type="dxa"/>
            <w:noWrap/>
            <w:vAlign w:val="center"/>
          </w:tcPr>
          <w:p w14:paraId="28E6608E">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19.乙炔气瓶平放；</w:t>
            </w:r>
          </w:p>
        </w:tc>
        <w:tc>
          <w:tcPr>
            <w:tcW w:w="2288" w:type="dxa"/>
            <w:noWrap/>
            <w:vAlign w:val="center"/>
          </w:tcPr>
          <w:p w14:paraId="68D9FA93">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42FDD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1A91F283">
            <w:pPr>
              <w:rPr>
                <w:rFonts w:hint="eastAsia" w:ascii="仿宋_GB2312" w:hAnsi="仿宋_GB2312" w:eastAsia="仿宋_GB2312" w:cs="仿宋_GB2312"/>
                <w:sz w:val="28"/>
                <w:szCs w:val="28"/>
                <w:highlight w:val="none"/>
              </w:rPr>
            </w:pPr>
          </w:p>
        </w:tc>
        <w:tc>
          <w:tcPr>
            <w:tcW w:w="6079" w:type="dxa"/>
            <w:noWrap/>
            <w:vAlign w:val="center"/>
          </w:tcPr>
          <w:p w14:paraId="4993E21D">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20.气瓶压力表损坏或失准；</w:t>
            </w:r>
          </w:p>
        </w:tc>
        <w:tc>
          <w:tcPr>
            <w:tcW w:w="2288" w:type="dxa"/>
            <w:noWrap/>
            <w:vAlign w:val="center"/>
          </w:tcPr>
          <w:p w14:paraId="7C8BDFD8">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2E2BE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56D190E8">
            <w:pPr>
              <w:rPr>
                <w:rFonts w:hint="eastAsia" w:ascii="仿宋_GB2312" w:hAnsi="仿宋_GB2312" w:eastAsia="仿宋_GB2312" w:cs="仿宋_GB2312"/>
                <w:sz w:val="28"/>
                <w:szCs w:val="28"/>
                <w:highlight w:val="none"/>
              </w:rPr>
            </w:pPr>
          </w:p>
        </w:tc>
        <w:tc>
          <w:tcPr>
            <w:tcW w:w="6079" w:type="dxa"/>
            <w:noWrap/>
            <w:vAlign w:val="center"/>
          </w:tcPr>
          <w:p w14:paraId="71629204">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21.非紧急情况私自动用公司消防器材、消防水的；</w:t>
            </w:r>
          </w:p>
        </w:tc>
        <w:tc>
          <w:tcPr>
            <w:tcW w:w="2288" w:type="dxa"/>
            <w:noWrap/>
            <w:vAlign w:val="center"/>
          </w:tcPr>
          <w:p w14:paraId="1172FF2F">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4ED627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center"/>
          </w:tcPr>
          <w:p w14:paraId="245C4183">
            <w:pPr>
              <w:rPr>
                <w:rFonts w:hint="eastAsia" w:ascii="仿宋_GB2312" w:hAnsi="仿宋_GB2312" w:eastAsia="仿宋_GB2312" w:cs="仿宋_GB2312"/>
                <w:sz w:val="28"/>
                <w:szCs w:val="28"/>
                <w:highlight w:val="none"/>
              </w:rPr>
            </w:pPr>
          </w:p>
        </w:tc>
        <w:tc>
          <w:tcPr>
            <w:tcW w:w="6079" w:type="dxa"/>
            <w:noWrap/>
            <w:vAlign w:val="center"/>
          </w:tcPr>
          <w:p w14:paraId="7F5769C3">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22.未按规定配置合规灭火器材的</w:t>
            </w:r>
          </w:p>
        </w:tc>
        <w:tc>
          <w:tcPr>
            <w:tcW w:w="2288" w:type="dxa"/>
            <w:noWrap/>
            <w:vAlign w:val="center"/>
          </w:tcPr>
          <w:p w14:paraId="20809D6A">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5AF2C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restart"/>
            <w:noWrap/>
            <w:vAlign w:val="center"/>
          </w:tcPr>
          <w:p w14:paraId="15E7823A">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六、其他</w:t>
            </w:r>
          </w:p>
        </w:tc>
        <w:tc>
          <w:tcPr>
            <w:tcW w:w="6079" w:type="dxa"/>
            <w:noWrap/>
            <w:vAlign w:val="center"/>
          </w:tcPr>
          <w:p w14:paraId="5CE47C0E">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23.发生重伤及以上安全事故，未及时上报或隐瞒事故原因及责任人的；</w:t>
            </w:r>
          </w:p>
        </w:tc>
        <w:tc>
          <w:tcPr>
            <w:tcW w:w="2288" w:type="dxa"/>
            <w:noWrap/>
            <w:vAlign w:val="center"/>
          </w:tcPr>
          <w:p w14:paraId="777CDABE">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100000元∕人∕次</w:t>
            </w:r>
          </w:p>
        </w:tc>
      </w:tr>
      <w:tr w14:paraId="0C6E1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top"/>
          </w:tcPr>
          <w:p w14:paraId="755B76E4">
            <w:pPr>
              <w:rPr>
                <w:rFonts w:hint="eastAsia" w:ascii="仿宋_GB2312" w:hAnsi="仿宋_GB2312" w:eastAsia="仿宋_GB2312" w:cs="仿宋_GB2312"/>
                <w:sz w:val="28"/>
                <w:szCs w:val="28"/>
                <w:highlight w:val="none"/>
              </w:rPr>
            </w:pPr>
          </w:p>
        </w:tc>
        <w:tc>
          <w:tcPr>
            <w:tcW w:w="6079" w:type="dxa"/>
            <w:noWrap/>
            <w:vAlign w:val="center"/>
          </w:tcPr>
          <w:p w14:paraId="237E34B5">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24.随意动用公司物品及标志牌造成损坏的；</w:t>
            </w:r>
          </w:p>
        </w:tc>
        <w:tc>
          <w:tcPr>
            <w:tcW w:w="2288" w:type="dxa"/>
            <w:noWrap/>
            <w:vAlign w:val="center"/>
          </w:tcPr>
          <w:p w14:paraId="5CEC3931">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200元∕人∕次</w:t>
            </w:r>
          </w:p>
        </w:tc>
      </w:tr>
      <w:tr w14:paraId="5CEA0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top"/>
          </w:tcPr>
          <w:p w14:paraId="6FB59F6B">
            <w:pPr>
              <w:rPr>
                <w:rFonts w:hint="eastAsia" w:ascii="仿宋_GB2312" w:hAnsi="仿宋_GB2312" w:eastAsia="仿宋_GB2312" w:cs="仿宋_GB2312"/>
                <w:sz w:val="28"/>
                <w:szCs w:val="28"/>
                <w:highlight w:val="none"/>
              </w:rPr>
            </w:pPr>
          </w:p>
        </w:tc>
        <w:tc>
          <w:tcPr>
            <w:tcW w:w="6079" w:type="dxa"/>
            <w:noWrap/>
            <w:vAlign w:val="center"/>
          </w:tcPr>
          <w:p w14:paraId="0EE92E85">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25.偷盗公司物品的每次给予相关单位违约追偿处理，严重者交公安机关处理；</w:t>
            </w:r>
          </w:p>
        </w:tc>
        <w:tc>
          <w:tcPr>
            <w:tcW w:w="2288" w:type="dxa"/>
            <w:noWrap/>
            <w:vAlign w:val="center"/>
          </w:tcPr>
          <w:p w14:paraId="05178725">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500元∕人∕次</w:t>
            </w:r>
          </w:p>
        </w:tc>
      </w:tr>
      <w:tr w14:paraId="3B3885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top"/>
          </w:tcPr>
          <w:p w14:paraId="406E4D83">
            <w:pPr>
              <w:rPr>
                <w:rFonts w:hint="eastAsia" w:ascii="仿宋_GB2312" w:hAnsi="仿宋_GB2312" w:eastAsia="仿宋_GB2312" w:cs="仿宋_GB2312"/>
                <w:sz w:val="28"/>
                <w:szCs w:val="28"/>
                <w:highlight w:val="none"/>
              </w:rPr>
            </w:pPr>
          </w:p>
        </w:tc>
        <w:tc>
          <w:tcPr>
            <w:tcW w:w="6079" w:type="dxa"/>
            <w:noWrap/>
            <w:vAlign w:val="center"/>
          </w:tcPr>
          <w:p w14:paraId="6243C7C4">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26.施工方案或安全措施方案未经批准擅自施工和操作；</w:t>
            </w:r>
          </w:p>
        </w:tc>
        <w:tc>
          <w:tcPr>
            <w:tcW w:w="2288" w:type="dxa"/>
            <w:noWrap/>
            <w:vAlign w:val="center"/>
          </w:tcPr>
          <w:p w14:paraId="0563DE3F">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1000元∕人∕次</w:t>
            </w:r>
          </w:p>
        </w:tc>
      </w:tr>
      <w:tr w14:paraId="51E450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top"/>
          </w:tcPr>
          <w:p w14:paraId="68919EC2">
            <w:pPr>
              <w:rPr>
                <w:rFonts w:hint="eastAsia" w:ascii="仿宋_GB2312" w:hAnsi="仿宋_GB2312" w:eastAsia="仿宋_GB2312" w:cs="仿宋_GB2312"/>
                <w:sz w:val="28"/>
                <w:szCs w:val="28"/>
                <w:highlight w:val="none"/>
              </w:rPr>
            </w:pPr>
          </w:p>
        </w:tc>
        <w:tc>
          <w:tcPr>
            <w:tcW w:w="6079" w:type="dxa"/>
            <w:noWrap/>
            <w:vAlign w:val="center"/>
          </w:tcPr>
          <w:p w14:paraId="14190247">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27.安排未经过培训教育、安全交底人员进入现场作业，随意更换未备案作业人员进厂作业；</w:t>
            </w:r>
          </w:p>
        </w:tc>
        <w:tc>
          <w:tcPr>
            <w:tcW w:w="2288" w:type="dxa"/>
            <w:noWrap/>
            <w:vAlign w:val="center"/>
          </w:tcPr>
          <w:p w14:paraId="6DD0DC98">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1000元∕人∕次</w:t>
            </w:r>
          </w:p>
        </w:tc>
      </w:tr>
      <w:tr w14:paraId="7F81A2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9" w:hRule="atLeast"/>
        </w:trPr>
        <w:tc>
          <w:tcPr>
            <w:tcW w:w="1331" w:type="dxa"/>
            <w:vMerge w:val="continue"/>
            <w:noWrap/>
            <w:vAlign w:val="top"/>
          </w:tcPr>
          <w:p w14:paraId="29333D51">
            <w:pPr>
              <w:rPr>
                <w:rFonts w:hint="eastAsia" w:ascii="仿宋_GB2312" w:hAnsi="仿宋_GB2312" w:eastAsia="仿宋_GB2312" w:cs="仿宋_GB2312"/>
                <w:sz w:val="28"/>
                <w:szCs w:val="28"/>
                <w:highlight w:val="none"/>
              </w:rPr>
            </w:pPr>
          </w:p>
        </w:tc>
        <w:tc>
          <w:tcPr>
            <w:tcW w:w="6079" w:type="dxa"/>
            <w:noWrap/>
            <w:vAlign w:val="center"/>
          </w:tcPr>
          <w:p w14:paraId="0FF40BE2">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28.危险作业监护人不在现场；</w:t>
            </w:r>
          </w:p>
        </w:tc>
        <w:tc>
          <w:tcPr>
            <w:tcW w:w="2288" w:type="dxa"/>
            <w:noWrap/>
            <w:vAlign w:val="center"/>
          </w:tcPr>
          <w:p w14:paraId="11BFF46F">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500元∕人∕次</w:t>
            </w:r>
          </w:p>
        </w:tc>
      </w:tr>
      <w:tr w14:paraId="6733E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1331" w:type="dxa"/>
            <w:vMerge w:val="continue"/>
            <w:noWrap/>
            <w:vAlign w:val="top"/>
          </w:tcPr>
          <w:p w14:paraId="0C3378A5">
            <w:pPr>
              <w:rPr>
                <w:rFonts w:hint="eastAsia" w:ascii="仿宋_GB2312" w:hAnsi="仿宋_GB2312" w:eastAsia="仿宋_GB2312" w:cs="仿宋_GB2312"/>
                <w:sz w:val="28"/>
                <w:szCs w:val="28"/>
                <w:highlight w:val="none"/>
              </w:rPr>
            </w:pPr>
          </w:p>
        </w:tc>
        <w:tc>
          <w:tcPr>
            <w:tcW w:w="6079" w:type="dxa"/>
            <w:noWrap/>
            <w:vAlign w:val="center"/>
          </w:tcPr>
          <w:p w14:paraId="1BD6D422">
            <w:pP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29.其他安全隐患或不文明作业现象、足以引发事故的。</w:t>
            </w:r>
          </w:p>
        </w:tc>
        <w:tc>
          <w:tcPr>
            <w:tcW w:w="2288" w:type="dxa"/>
            <w:noWrap/>
            <w:vAlign w:val="center"/>
          </w:tcPr>
          <w:p w14:paraId="17D233A5">
            <w:pPr>
              <w:jc w:val="center"/>
              <w:rPr>
                <w:rFonts w:hint="eastAsia"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100元∕人∕次</w:t>
            </w:r>
          </w:p>
        </w:tc>
      </w:tr>
      <w:tr w14:paraId="5310C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 w:hRule="atLeast"/>
        </w:trPr>
        <w:tc>
          <w:tcPr>
            <w:tcW w:w="1331" w:type="dxa"/>
            <w:noWrap/>
            <w:vAlign w:val="top"/>
          </w:tcPr>
          <w:p w14:paraId="0BC192ED">
            <w:pPr>
              <w:rPr>
                <w:rFonts w:ascii="仿宋" w:hAnsi="仿宋" w:eastAsia="仿宋" w:cs="仿宋"/>
                <w:sz w:val="28"/>
                <w:szCs w:val="28"/>
                <w:highlight w:val="none"/>
              </w:rPr>
            </w:pPr>
          </w:p>
        </w:tc>
        <w:tc>
          <w:tcPr>
            <w:tcW w:w="6079" w:type="dxa"/>
            <w:noWrap/>
            <w:vAlign w:val="center"/>
          </w:tcPr>
          <w:p w14:paraId="1AC4D046">
            <w:pPr>
              <w:rPr>
                <w:rFonts w:ascii="仿宋" w:hAnsi="仿宋" w:eastAsia="仿宋" w:cs="仿宋"/>
                <w:sz w:val="28"/>
                <w:szCs w:val="28"/>
                <w:highlight w:val="none"/>
              </w:rPr>
            </w:pPr>
            <w:r>
              <w:rPr>
                <w:rFonts w:hint="eastAsia" w:ascii="仿宋" w:hAnsi="仿宋" w:eastAsia="仿宋" w:cs="仿宋"/>
                <w:sz w:val="28"/>
                <w:szCs w:val="28"/>
                <w:highlight w:val="none"/>
              </w:rPr>
              <w:t>30.垃圾外运或进料导致环境卫生污染</w:t>
            </w:r>
          </w:p>
        </w:tc>
        <w:tc>
          <w:tcPr>
            <w:tcW w:w="2288" w:type="dxa"/>
            <w:noWrap/>
            <w:vAlign w:val="center"/>
          </w:tcPr>
          <w:p w14:paraId="7BC618F2">
            <w:pPr>
              <w:jc w:val="center"/>
              <w:rPr>
                <w:rFonts w:ascii="仿宋" w:hAnsi="仿宋" w:eastAsia="仿宋" w:cs="仿宋"/>
                <w:sz w:val="28"/>
                <w:szCs w:val="28"/>
                <w:highlight w:val="none"/>
              </w:rPr>
            </w:pPr>
            <w:r>
              <w:rPr>
                <w:rFonts w:hint="eastAsia" w:ascii="仿宋" w:hAnsi="仿宋" w:eastAsia="仿宋" w:cs="仿宋"/>
                <w:sz w:val="28"/>
                <w:szCs w:val="28"/>
                <w:highlight w:val="none"/>
              </w:rPr>
              <w:t>200元∕人∕次</w:t>
            </w:r>
          </w:p>
        </w:tc>
      </w:tr>
    </w:tbl>
    <w:p w14:paraId="7E579D50">
      <w:pPr>
        <w:widowControl/>
        <w:snapToGrid w:val="0"/>
        <w:spacing w:line="575" w:lineRule="exact"/>
        <w:jc w:val="left"/>
        <w:rPr>
          <w:rFonts w:ascii="仿宋" w:hAnsi="仿宋" w:eastAsia="仿宋" w:cs="仿宋"/>
          <w:kern w:val="0"/>
          <w:sz w:val="28"/>
          <w:szCs w:val="28"/>
          <w:highlight w:val="none"/>
        </w:rPr>
      </w:pPr>
    </w:p>
    <w:p w14:paraId="63EA4CB9">
      <w:pPr>
        <w:widowControl/>
        <w:snapToGrid w:val="0"/>
        <w:spacing w:line="575" w:lineRule="exact"/>
        <w:jc w:val="left"/>
        <w:rPr>
          <w:rFonts w:ascii="仿宋" w:hAnsi="仿宋" w:eastAsia="仿宋" w:cs="仿宋"/>
          <w:kern w:val="0"/>
          <w:sz w:val="28"/>
          <w:szCs w:val="28"/>
          <w:highlight w:val="none"/>
        </w:rPr>
      </w:pPr>
    </w:p>
    <w:p w14:paraId="75997686">
      <w:pPr>
        <w:spacing w:line="60" w:lineRule="auto"/>
        <w:ind w:left="560" w:hanging="560" w:hangingChars="200"/>
        <w:rPr>
          <w:rFonts w:ascii="仿宋" w:hAnsi="仿宋" w:eastAsia="仿宋" w:cs="仿宋"/>
          <w:sz w:val="28"/>
          <w:szCs w:val="28"/>
          <w:highlight w:val="none"/>
        </w:rPr>
      </w:pPr>
    </w:p>
    <w:p w14:paraId="72F2DCA7">
      <w:pPr>
        <w:rPr>
          <w:highlight w:val="none"/>
        </w:rPr>
      </w:pPr>
    </w:p>
    <w:p w14:paraId="4322C0D3">
      <w:pPr>
        <w:numPr>
          <w:ilvl w:val="0"/>
          <w:numId w:val="0"/>
        </w:numPr>
        <w:spacing w:line="360" w:lineRule="auto"/>
        <w:ind w:leftChars="0"/>
        <w:rPr>
          <w:rFonts w:hint="eastAsia" w:ascii="仿宋" w:hAnsi="仿宋" w:eastAsia="仿宋" w:cs="仿宋"/>
          <w:bCs/>
          <w:sz w:val="24"/>
          <w:szCs w:val="24"/>
          <w:highlight w:val="none"/>
          <w:lang w:val="en-US" w:eastAsia="zh-CN"/>
        </w:rPr>
      </w:pPr>
    </w:p>
    <w:p w14:paraId="5AF3C821">
      <w:pPr>
        <w:rPr>
          <w:highlight w:val="none"/>
        </w:rPr>
      </w:pPr>
    </w:p>
    <w:p w14:paraId="49761900">
      <w:pPr>
        <w:keepNext w:val="0"/>
        <w:keepLines w:val="0"/>
        <w:pageBreakBefore w:val="0"/>
        <w:widowControl w:val="0"/>
        <w:kinsoku/>
        <w:wordWrap/>
        <w:overflowPunct/>
        <w:topLinePunct w:val="0"/>
        <w:autoSpaceDE/>
        <w:autoSpaceDN/>
        <w:bidi w:val="0"/>
        <w:adjustRightInd/>
        <w:snapToGrid/>
        <w:spacing w:line="460" w:lineRule="exact"/>
        <w:jc w:val="left"/>
        <w:textAlignment w:val="auto"/>
        <w:rPr>
          <w:rFonts w:hint="eastAsia" w:ascii="仿宋_GB2312" w:hAnsi="微软雅黑" w:eastAsia="仿宋_GB2312"/>
          <w:sz w:val="28"/>
          <w:szCs w:val="28"/>
          <w:highlight w:val="none"/>
          <w:lang w:val="en-US" w:eastAsia="zh-CN"/>
        </w:rPr>
      </w:pPr>
    </w:p>
    <w:p w14:paraId="4C53E711">
      <w:pPr>
        <w:rPr>
          <w:rFonts w:hint="default"/>
          <w:highlight w:val="none"/>
          <w:lang w:val="en-US" w:eastAsia="zh-CN"/>
        </w:rPr>
      </w:pPr>
    </w:p>
    <w:p w14:paraId="67E24176">
      <w:pPr>
        <w:pStyle w:val="11"/>
        <w:rPr>
          <w:rFonts w:hint="eastAsia"/>
          <w:kern w:val="0"/>
          <w:sz w:val="36"/>
          <w:szCs w:val="36"/>
          <w:highlight w:val="none"/>
          <w:lang w:val="en-US" w:eastAsia="zh-CN"/>
        </w:rPr>
      </w:pPr>
    </w:p>
    <w:p w14:paraId="5A26A872">
      <w:pPr>
        <w:rPr>
          <w:rFonts w:hint="eastAsia"/>
          <w:kern w:val="0"/>
          <w:sz w:val="36"/>
          <w:szCs w:val="36"/>
          <w:highlight w:val="none"/>
          <w:lang w:val="en-US" w:eastAsia="zh-CN"/>
        </w:rPr>
      </w:pPr>
    </w:p>
    <w:p w14:paraId="1EDD2536">
      <w:pPr>
        <w:rPr>
          <w:rFonts w:hint="eastAsia"/>
          <w:kern w:val="0"/>
          <w:sz w:val="36"/>
          <w:szCs w:val="36"/>
          <w:highlight w:val="none"/>
          <w:lang w:val="en-US" w:eastAsia="zh-CN"/>
        </w:rPr>
      </w:pPr>
    </w:p>
    <w:p w14:paraId="7715F752">
      <w:pPr>
        <w:rPr>
          <w:rFonts w:hint="eastAsia"/>
          <w:kern w:val="0"/>
          <w:sz w:val="36"/>
          <w:szCs w:val="36"/>
          <w:highlight w:val="none"/>
          <w:lang w:val="en-US" w:eastAsia="zh-CN"/>
        </w:rPr>
      </w:pPr>
    </w:p>
    <w:p w14:paraId="2C9E8EE9">
      <w:pPr>
        <w:rPr>
          <w:rFonts w:hint="eastAsia"/>
          <w:kern w:val="0"/>
          <w:sz w:val="36"/>
          <w:szCs w:val="36"/>
          <w:highlight w:val="none"/>
          <w:lang w:val="en-US" w:eastAsia="zh-CN"/>
        </w:rPr>
      </w:pPr>
    </w:p>
    <w:p w14:paraId="2E1F46EA">
      <w:pPr>
        <w:rPr>
          <w:rFonts w:hint="eastAsia"/>
          <w:kern w:val="0"/>
          <w:sz w:val="36"/>
          <w:szCs w:val="36"/>
          <w:highlight w:val="none"/>
          <w:lang w:val="en-US" w:eastAsia="zh-CN"/>
        </w:rPr>
      </w:pPr>
    </w:p>
    <w:p w14:paraId="5053C921">
      <w:pPr>
        <w:rPr>
          <w:rFonts w:hint="eastAsia"/>
          <w:kern w:val="0"/>
          <w:sz w:val="36"/>
          <w:szCs w:val="36"/>
          <w:highlight w:val="none"/>
          <w:lang w:val="en-US" w:eastAsia="zh-CN"/>
        </w:rPr>
      </w:pPr>
    </w:p>
    <w:p w14:paraId="32F4D91B">
      <w:pPr>
        <w:rPr>
          <w:rFonts w:hint="eastAsia"/>
          <w:kern w:val="0"/>
          <w:sz w:val="36"/>
          <w:szCs w:val="36"/>
          <w:highlight w:val="none"/>
          <w:lang w:val="en-US" w:eastAsia="zh-CN"/>
        </w:rPr>
      </w:pPr>
    </w:p>
    <w:p w14:paraId="4A4C6032">
      <w:pPr>
        <w:rPr>
          <w:rFonts w:hint="eastAsia"/>
          <w:kern w:val="0"/>
          <w:sz w:val="36"/>
          <w:szCs w:val="36"/>
          <w:highlight w:val="none"/>
          <w:lang w:val="en-US" w:eastAsia="zh-CN"/>
        </w:rPr>
      </w:pPr>
    </w:p>
    <w:p w14:paraId="05E79E19">
      <w:pPr>
        <w:rPr>
          <w:rFonts w:hint="eastAsia"/>
          <w:kern w:val="0"/>
          <w:sz w:val="36"/>
          <w:szCs w:val="36"/>
          <w:highlight w:val="none"/>
          <w:lang w:val="en-US" w:eastAsia="zh-CN"/>
        </w:rPr>
      </w:pPr>
    </w:p>
    <w:p w14:paraId="1EE93372">
      <w:pPr>
        <w:rPr>
          <w:rFonts w:hint="eastAsia"/>
          <w:kern w:val="0"/>
          <w:sz w:val="36"/>
          <w:szCs w:val="36"/>
          <w:highlight w:val="none"/>
          <w:lang w:val="en-US" w:eastAsia="zh-CN"/>
        </w:rPr>
      </w:pPr>
    </w:p>
    <w:p w14:paraId="25777EEC">
      <w:pPr>
        <w:rPr>
          <w:rFonts w:hint="eastAsia"/>
          <w:kern w:val="0"/>
          <w:sz w:val="36"/>
          <w:szCs w:val="36"/>
          <w:highlight w:val="none"/>
          <w:lang w:val="en-US" w:eastAsia="zh-CN"/>
        </w:rPr>
      </w:pPr>
    </w:p>
    <w:p w14:paraId="6E4BEFF3">
      <w:pPr>
        <w:pStyle w:val="11"/>
        <w:rPr>
          <w:rFonts w:hint="eastAsia"/>
          <w:kern w:val="0"/>
          <w:sz w:val="36"/>
          <w:szCs w:val="36"/>
          <w:highlight w:val="none"/>
          <w:lang w:val="en-US" w:eastAsia="zh-CN"/>
        </w:rPr>
      </w:pPr>
    </w:p>
    <w:p w14:paraId="62F768BF">
      <w:pPr>
        <w:pStyle w:val="11"/>
        <w:rPr>
          <w:rFonts w:hint="eastAsia"/>
          <w:kern w:val="0"/>
          <w:sz w:val="36"/>
          <w:szCs w:val="36"/>
          <w:highlight w:val="none"/>
          <w:lang w:val="en-US" w:eastAsia="zh-CN"/>
        </w:rPr>
      </w:pPr>
      <w:r>
        <w:rPr>
          <w:rFonts w:hint="eastAsia"/>
          <w:kern w:val="0"/>
          <w:sz w:val="36"/>
          <w:szCs w:val="36"/>
          <w:highlight w:val="none"/>
          <w:lang w:val="en-US" w:eastAsia="zh-CN"/>
        </w:rPr>
        <w:t>第五部分响应文件格式</w:t>
      </w:r>
    </w:p>
    <w:p w14:paraId="3BB9ADE9">
      <w:pPr>
        <w:rPr>
          <w:rFonts w:hint="eastAsia"/>
          <w:highlight w:val="none"/>
          <w:lang w:val="en-US" w:eastAsia="zh-CN"/>
        </w:rPr>
      </w:pPr>
    </w:p>
    <w:p w14:paraId="7CAA8A59">
      <w:pPr>
        <w:spacing w:line="500" w:lineRule="exact"/>
        <w:jc w:val="center"/>
        <w:rPr>
          <w:rFonts w:hint="eastAsia" w:ascii="仿宋_GB2312" w:hAnsi="仿宋_GB2312" w:eastAsia="仿宋_GB2312" w:cs="仿宋_GB2312"/>
          <w:sz w:val="40"/>
          <w:szCs w:val="40"/>
          <w:highlight w:val="none"/>
          <w:lang w:val="en-US" w:eastAsia="zh-CN"/>
        </w:rPr>
      </w:pPr>
    </w:p>
    <w:p w14:paraId="5A6AA342">
      <w:pPr>
        <w:spacing w:line="500" w:lineRule="exact"/>
        <w:jc w:val="center"/>
        <w:rPr>
          <w:rFonts w:hint="eastAsia" w:ascii="仿宋_GB2312" w:hAnsi="仿宋_GB2312" w:eastAsia="仿宋_GB2312" w:cs="仿宋_GB2312"/>
          <w:sz w:val="40"/>
          <w:szCs w:val="40"/>
          <w:highlight w:val="none"/>
          <w:lang w:val="en-US" w:eastAsia="zh-CN"/>
        </w:rPr>
      </w:pPr>
    </w:p>
    <w:p w14:paraId="56025CE2">
      <w:pPr>
        <w:spacing w:line="500" w:lineRule="exact"/>
        <w:jc w:val="center"/>
        <w:rPr>
          <w:rFonts w:hint="eastAsia" w:ascii="仿宋_GB2312" w:hAnsi="仿宋_GB2312" w:eastAsia="仿宋_GB2312" w:cs="仿宋_GB2312"/>
          <w:sz w:val="40"/>
          <w:szCs w:val="40"/>
          <w:highlight w:val="none"/>
          <w:lang w:val="en-US" w:eastAsia="zh-CN"/>
        </w:rPr>
      </w:pPr>
    </w:p>
    <w:p w14:paraId="4426083A">
      <w:pPr>
        <w:spacing w:line="500" w:lineRule="exact"/>
        <w:jc w:val="center"/>
        <w:rPr>
          <w:rFonts w:hint="eastAsia" w:ascii="仿宋_GB2312" w:hAnsi="仿宋_GB2312" w:eastAsia="仿宋_GB2312" w:cs="仿宋_GB2312"/>
          <w:b/>
          <w:bCs/>
          <w:sz w:val="40"/>
          <w:szCs w:val="40"/>
          <w:highlight w:val="none"/>
          <w:lang w:val="en-US" w:eastAsia="zh-CN"/>
        </w:rPr>
      </w:pPr>
      <w:r>
        <w:rPr>
          <w:rFonts w:hint="eastAsia" w:ascii="仿宋_GB2312" w:hAnsi="仿宋_GB2312" w:eastAsia="仿宋_GB2312" w:cs="仿宋_GB2312"/>
          <w:b/>
          <w:bCs/>
          <w:sz w:val="40"/>
          <w:szCs w:val="40"/>
          <w:highlight w:val="none"/>
          <w:lang w:val="en-US" w:eastAsia="zh-CN"/>
        </w:rPr>
        <w:t>2026年度中纺大厦B2层污水处理设备</w:t>
      </w:r>
    </w:p>
    <w:p w14:paraId="16C69E65">
      <w:pPr>
        <w:spacing w:line="500" w:lineRule="exact"/>
        <w:jc w:val="center"/>
        <w:rPr>
          <w:rFonts w:hint="eastAsia" w:ascii="仿宋_GB2312" w:hAnsi="仿宋_GB2312" w:eastAsia="仿宋_GB2312" w:cs="仿宋_GB2312"/>
          <w:b/>
          <w:bCs/>
          <w:sz w:val="40"/>
          <w:szCs w:val="40"/>
          <w:highlight w:val="none"/>
        </w:rPr>
      </w:pPr>
      <w:r>
        <w:rPr>
          <w:rFonts w:hint="eastAsia" w:ascii="仿宋_GB2312" w:hAnsi="仿宋_GB2312" w:eastAsia="仿宋_GB2312" w:cs="仿宋_GB2312"/>
          <w:b/>
          <w:bCs/>
          <w:sz w:val="40"/>
          <w:szCs w:val="40"/>
          <w:highlight w:val="none"/>
          <w:lang w:val="en-US" w:eastAsia="zh-CN"/>
        </w:rPr>
        <w:t>维护、维修、保养项目</w:t>
      </w:r>
    </w:p>
    <w:p w14:paraId="238275BC">
      <w:pPr>
        <w:spacing w:line="500" w:lineRule="exact"/>
        <w:jc w:val="center"/>
        <w:rPr>
          <w:rFonts w:hint="eastAsia" w:ascii="仿宋_GB2312" w:hAnsi="仿宋_GB2312" w:eastAsia="仿宋_GB2312" w:cs="仿宋_GB2312"/>
          <w:sz w:val="40"/>
          <w:szCs w:val="40"/>
          <w:highlight w:val="none"/>
        </w:rPr>
      </w:pPr>
    </w:p>
    <w:p w14:paraId="18C1ADD5">
      <w:pPr>
        <w:spacing w:line="440" w:lineRule="exact"/>
        <w:rPr>
          <w:rFonts w:ascii="仿宋_GB2312" w:hAnsi="仿宋_GB2312" w:eastAsia="仿宋_GB2312" w:cs="仿宋_GB2312"/>
          <w:sz w:val="28"/>
          <w:szCs w:val="28"/>
          <w:highlight w:val="none"/>
        </w:rPr>
      </w:pPr>
    </w:p>
    <w:p w14:paraId="5724B384">
      <w:pPr>
        <w:spacing w:line="440" w:lineRule="exact"/>
        <w:rPr>
          <w:rFonts w:ascii="仿宋_GB2312" w:hAnsi="仿宋_GB2312" w:eastAsia="仿宋_GB2312" w:cs="仿宋_GB2312"/>
          <w:sz w:val="28"/>
          <w:szCs w:val="28"/>
          <w:highlight w:val="none"/>
        </w:rPr>
      </w:pPr>
    </w:p>
    <w:p w14:paraId="5B8426A3">
      <w:pPr>
        <w:spacing w:line="440" w:lineRule="exact"/>
        <w:rPr>
          <w:rFonts w:ascii="仿宋_GB2312" w:hAnsi="仿宋_GB2312" w:eastAsia="仿宋_GB2312" w:cs="仿宋_GB2312"/>
          <w:sz w:val="28"/>
          <w:szCs w:val="28"/>
          <w:highlight w:val="none"/>
        </w:rPr>
      </w:pPr>
      <w:r>
        <w:rPr>
          <w:rFonts w:hint="eastAsia" w:ascii="仿宋_GB2312" w:hAnsi="仿宋_GB2312" w:eastAsia="仿宋_GB2312" w:cs="仿宋_GB2312"/>
          <w:sz w:val="28"/>
          <w:szCs w:val="28"/>
          <w:highlight w:val="none"/>
        </w:rPr>
        <w:t xml:space="preserve"> </w:t>
      </w:r>
    </w:p>
    <w:p w14:paraId="573897B5">
      <w:pPr>
        <w:spacing w:line="500" w:lineRule="exact"/>
        <w:jc w:val="center"/>
        <w:rPr>
          <w:rFonts w:hint="eastAsia" w:ascii="仿宋_GB2312" w:hAnsi="仿宋_GB2312" w:eastAsia="仿宋_GB2312" w:cs="仿宋_GB2312"/>
          <w:sz w:val="40"/>
          <w:szCs w:val="40"/>
          <w:highlight w:val="none"/>
        </w:rPr>
      </w:pPr>
      <w:r>
        <w:rPr>
          <w:rFonts w:hint="eastAsia" w:ascii="仿宋_GB2312" w:hAnsi="仿宋_GB2312" w:eastAsia="仿宋_GB2312" w:cs="仿宋_GB2312"/>
          <w:sz w:val="40"/>
          <w:szCs w:val="40"/>
          <w:highlight w:val="none"/>
        </w:rPr>
        <w:t>竞价响应文件</w:t>
      </w:r>
    </w:p>
    <w:p w14:paraId="2388D491">
      <w:pPr>
        <w:spacing w:line="440" w:lineRule="exact"/>
        <w:rPr>
          <w:rFonts w:ascii="仿宋_GB2312" w:hAnsi="仿宋_GB2312" w:eastAsia="仿宋_GB2312" w:cs="仿宋_GB2312"/>
          <w:sz w:val="28"/>
          <w:szCs w:val="28"/>
          <w:highlight w:val="none"/>
        </w:rPr>
      </w:pPr>
    </w:p>
    <w:p w14:paraId="5E7F73CB">
      <w:pPr>
        <w:spacing w:line="440" w:lineRule="exact"/>
        <w:rPr>
          <w:rFonts w:ascii="仿宋_GB2312" w:hAnsi="仿宋_GB2312" w:eastAsia="仿宋_GB2312" w:cs="仿宋_GB2312"/>
          <w:sz w:val="28"/>
          <w:szCs w:val="28"/>
          <w:highlight w:val="none"/>
        </w:rPr>
      </w:pPr>
    </w:p>
    <w:p w14:paraId="32B7C76D">
      <w:pPr>
        <w:spacing w:line="440" w:lineRule="exact"/>
        <w:rPr>
          <w:rFonts w:ascii="仿宋_GB2312" w:hAnsi="仿宋_GB2312" w:eastAsia="仿宋_GB2312" w:cs="仿宋_GB2312"/>
          <w:sz w:val="28"/>
          <w:szCs w:val="28"/>
          <w:highlight w:val="none"/>
        </w:rPr>
      </w:pPr>
    </w:p>
    <w:p w14:paraId="77F016A4">
      <w:pPr>
        <w:spacing w:line="440" w:lineRule="exact"/>
        <w:rPr>
          <w:rFonts w:ascii="仿宋_GB2312" w:hAnsi="仿宋_GB2312" w:eastAsia="仿宋_GB2312" w:cs="仿宋_GB2312"/>
          <w:sz w:val="28"/>
          <w:szCs w:val="28"/>
          <w:highlight w:val="none"/>
        </w:rPr>
      </w:pPr>
    </w:p>
    <w:p w14:paraId="1620D1B9">
      <w:pPr>
        <w:keepNext w:val="0"/>
        <w:keepLines w:val="0"/>
        <w:pageBreakBefore w:val="0"/>
        <w:widowControl w:val="0"/>
        <w:kinsoku/>
        <w:wordWrap/>
        <w:overflowPunct/>
        <w:topLinePunct w:val="0"/>
        <w:autoSpaceDE/>
        <w:autoSpaceDN/>
        <w:bidi w:val="0"/>
        <w:adjustRightInd/>
        <w:snapToGrid/>
        <w:spacing w:line="360" w:lineRule="auto"/>
        <w:ind w:left="2100" w:leftChars="1000"/>
        <w:textAlignment w:val="auto"/>
        <w:rPr>
          <w:rFonts w:ascii="仿宋_GB2312" w:hAnsi="仿宋_GB2312" w:eastAsia="仿宋_GB2312" w:cs="仿宋_GB2312"/>
          <w:sz w:val="32"/>
          <w:szCs w:val="32"/>
          <w:highlight w:val="none"/>
          <w:u w:val="single"/>
        </w:rPr>
      </w:pPr>
      <w:r>
        <w:rPr>
          <w:rFonts w:ascii="仿宋_GB2312" w:hAnsi="仿宋_GB2312" w:eastAsia="仿宋_GB2312" w:cs="仿宋_GB2312"/>
          <w:sz w:val="32"/>
          <w:szCs w:val="32"/>
          <w:highlight w:val="none"/>
        </w:rPr>
        <w:t>供应商：</w:t>
      </w:r>
      <w:r>
        <w:rPr>
          <w:rFonts w:ascii="仿宋_GB2312" w:hAnsi="仿宋_GB2312" w:eastAsia="仿宋_GB2312" w:cs="仿宋_GB2312"/>
          <w:sz w:val="32"/>
          <w:szCs w:val="32"/>
          <w:highlight w:val="none"/>
          <w:u w:val="single"/>
        </w:rPr>
        <w:tab/>
      </w:r>
      <w:r>
        <w:rPr>
          <w:rFonts w:ascii="仿宋_GB2312" w:hAnsi="仿宋_GB2312" w:eastAsia="仿宋_GB2312" w:cs="仿宋_GB2312"/>
          <w:sz w:val="32"/>
          <w:szCs w:val="32"/>
          <w:highlight w:val="none"/>
          <w:u w:val="single"/>
        </w:rPr>
        <w:t>（盖章）</w:t>
      </w:r>
      <w:r>
        <w:rPr>
          <w:rFonts w:hint="eastAsia" w:ascii="仿宋_GB2312" w:hAnsi="仿宋_GB2312" w:eastAsia="仿宋_GB2312" w:cs="仿宋_GB2312"/>
          <w:sz w:val="32"/>
          <w:szCs w:val="32"/>
          <w:highlight w:val="none"/>
          <w:u w:val="single"/>
        </w:rPr>
        <w:t xml:space="preserve">           </w:t>
      </w:r>
    </w:p>
    <w:p w14:paraId="4FFDFE95">
      <w:pPr>
        <w:keepNext w:val="0"/>
        <w:keepLines w:val="0"/>
        <w:pageBreakBefore w:val="0"/>
        <w:widowControl w:val="0"/>
        <w:kinsoku/>
        <w:wordWrap/>
        <w:overflowPunct/>
        <w:topLinePunct w:val="0"/>
        <w:autoSpaceDE/>
        <w:autoSpaceDN/>
        <w:bidi w:val="0"/>
        <w:adjustRightInd/>
        <w:snapToGrid/>
        <w:spacing w:line="360" w:lineRule="auto"/>
        <w:ind w:left="2100" w:leftChars="1000"/>
        <w:textAlignment w:val="auto"/>
        <w:rPr>
          <w:rFonts w:ascii="仿宋_GB2312" w:hAnsi="仿宋_GB2312" w:eastAsia="仿宋_GB2312" w:cs="仿宋_GB2312"/>
          <w:sz w:val="32"/>
          <w:szCs w:val="32"/>
          <w:highlight w:val="none"/>
          <w:u w:val="single"/>
        </w:rPr>
      </w:pPr>
      <w:r>
        <w:rPr>
          <w:rFonts w:ascii="仿宋_GB2312" w:hAnsi="仿宋_GB2312" w:eastAsia="仿宋_GB2312" w:cs="仿宋_GB2312"/>
          <w:sz w:val="32"/>
          <w:szCs w:val="32"/>
          <w:highlight w:val="none"/>
        </w:rPr>
        <w:t>联系人：</w:t>
      </w:r>
      <w:r>
        <w:rPr>
          <w:rFonts w:hint="eastAsia" w:ascii="仿宋_GB2312" w:hAnsi="仿宋_GB2312" w:eastAsia="仿宋_GB2312" w:cs="仿宋_GB2312"/>
          <w:sz w:val="32"/>
          <w:szCs w:val="32"/>
          <w:highlight w:val="none"/>
          <w:u w:val="single"/>
        </w:rPr>
        <w:t xml:space="preserve">                      </w:t>
      </w:r>
    </w:p>
    <w:p w14:paraId="2B02499C">
      <w:pPr>
        <w:keepNext w:val="0"/>
        <w:keepLines w:val="0"/>
        <w:pageBreakBefore w:val="0"/>
        <w:widowControl w:val="0"/>
        <w:kinsoku/>
        <w:wordWrap/>
        <w:overflowPunct/>
        <w:topLinePunct w:val="0"/>
        <w:autoSpaceDE/>
        <w:autoSpaceDN/>
        <w:bidi w:val="0"/>
        <w:adjustRightInd/>
        <w:snapToGrid/>
        <w:spacing w:line="360" w:lineRule="auto"/>
        <w:ind w:left="2100" w:leftChars="1000"/>
        <w:textAlignment w:val="auto"/>
        <w:rPr>
          <w:rFonts w:hint="eastAsia" w:ascii="仿宋_GB2312" w:hAnsi="仿宋_GB2312" w:eastAsia="仿宋_GB2312" w:cs="仿宋_GB2312"/>
          <w:sz w:val="32"/>
          <w:szCs w:val="32"/>
          <w:highlight w:val="none"/>
          <w:u w:val="single"/>
        </w:rPr>
      </w:pPr>
      <w:r>
        <w:rPr>
          <w:rFonts w:ascii="仿宋_GB2312" w:hAnsi="仿宋_GB2312" w:eastAsia="仿宋_GB2312" w:cs="仿宋_GB2312"/>
          <w:sz w:val="32"/>
          <w:szCs w:val="32"/>
          <w:highlight w:val="none"/>
        </w:rPr>
        <w:t>联系电话：</w:t>
      </w:r>
      <w:r>
        <w:rPr>
          <w:rFonts w:hint="eastAsia" w:ascii="仿宋_GB2312" w:hAnsi="仿宋_GB2312" w:eastAsia="仿宋_GB2312" w:cs="仿宋_GB2312"/>
          <w:sz w:val="32"/>
          <w:szCs w:val="32"/>
          <w:highlight w:val="none"/>
          <w:u w:val="single"/>
        </w:rPr>
        <w:t xml:space="preserve">                    </w:t>
      </w:r>
    </w:p>
    <w:p w14:paraId="2AA3E456">
      <w:pPr>
        <w:keepNext w:val="0"/>
        <w:keepLines w:val="0"/>
        <w:pageBreakBefore w:val="0"/>
        <w:widowControl w:val="0"/>
        <w:kinsoku/>
        <w:wordWrap/>
        <w:overflowPunct/>
        <w:topLinePunct w:val="0"/>
        <w:autoSpaceDE/>
        <w:autoSpaceDN/>
        <w:bidi w:val="0"/>
        <w:adjustRightInd/>
        <w:snapToGrid/>
        <w:spacing w:line="360" w:lineRule="auto"/>
        <w:ind w:left="2100" w:leftChars="1000"/>
        <w:textAlignment w:val="auto"/>
        <w:rPr>
          <w:rFonts w:hint="eastAsia" w:ascii="仿宋_GB2312" w:hAnsi="仿宋_GB2312" w:eastAsia="仿宋_GB2312" w:cs="仿宋_GB2312"/>
          <w:sz w:val="32"/>
          <w:szCs w:val="32"/>
          <w:highlight w:val="none"/>
          <w:u w:val="single"/>
        </w:rPr>
      </w:pPr>
      <w:r>
        <w:rPr>
          <w:rFonts w:hint="eastAsia" w:ascii="仿宋_GB2312" w:hAnsi="仿宋_GB2312" w:eastAsia="仿宋_GB2312" w:cs="仿宋_GB2312"/>
          <w:sz w:val="32"/>
          <w:szCs w:val="32"/>
          <w:highlight w:val="none"/>
        </w:rPr>
        <w:t>电子邮箱：</w:t>
      </w:r>
      <w:r>
        <w:rPr>
          <w:rFonts w:hint="eastAsia" w:ascii="仿宋_GB2312" w:hAnsi="仿宋_GB2312" w:eastAsia="仿宋_GB2312" w:cs="仿宋_GB2312"/>
          <w:sz w:val="32"/>
          <w:szCs w:val="32"/>
          <w:highlight w:val="none"/>
          <w:u w:val="single"/>
        </w:rPr>
        <w:t xml:space="preserve">                    </w:t>
      </w:r>
    </w:p>
    <w:p w14:paraId="18230617">
      <w:pPr>
        <w:spacing w:line="360" w:lineRule="auto"/>
        <w:ind w:left="2520" w:leftChars="1200" w:firstLine="1280" w:firstLineChars="400"/>
        <w:rPr>
          <w:rFonts w:ascii="仿宋_GB2312" w:hAnsi="仿宋_GB2312" w:eastAsia="仿宋_GB2312" w:cs="仿宋_GB2312"/>
          <w:sz w:val="32"/>
          <w:szCs w:val="32"/>
          <w:highlight w:val="none"/>
        </w:rPr>
      </w:pPr>
    </w:p>
    <w:p w14:paraId="29CB6594">
      <w:pPr>
        <w:spacing w:line="360" w:lineRule="auto"/>
        <w:jc w:val="center"/>
        <w:rPr>
          <w:rFonts w:ascii="仿宋_GB2312" w:hAnsi="仿宋_GB2312" w:eastAsia="仿宋_GB2312" w:cs="仿宋_GB2312"/>
          <w:sz w:val="32"/>
          <w:szCs w:val="32"/>
          <w:highlight w:val="none"/>
        </w:rPr>
      </w:pPr>
      <w:r>
        <w:rPr>
          <w:rFonts w:ascii="仿宋_GB2312" w:hAnsi="仿宋_GB2312" w:eastAsia="仿宋_GB2312" w:cs="仿宋_GB2312"/>
          <w:sz w:val="32"/>
          <w:szCs w:val="32"/>
          <w:highlight w:val="none"/>
        </w:rPr>
        <w:t>年</w:t>
      </w:r>
      <w:r>
        <w:rPr>
          <w:rFonts w:ascii="仿宋_GB2312" w:hAnsi="仿宋_GB2312" w:eastAsia="仿宋_GB2312" w:cs="仿宋_GB2312"/>
          <w:sz w:val="32"/>
          <w:szCs w:val="32"/>
          <w:highlight w:val="none"/>
        </w:rPr>
        <w:tab/>
      </w:r>
      <w:r>
        <w:rPr>
          <w:rFonts w:hint="eastAsia" w:ascii="仿宋_GB2312" w:hAnsi="仿宋_GB2312" w:eastAsia="仿宋_GB2312" w:cs="仿宋_GB2312"/>
          <w:sz w:val="32"/>
          <w:szCs w:val="32"/>
          <w:highlight w:val="none"/>
        </w:rPr>
        <w:t xml:space="preserve">     </w:t>
      </w:r>
      <w:r>
        <w:rPr>
          <w:rFonts w:ascii="仿宋_GB2312" w:hAnsi="仿宋_GB2312" w:eastAsia="仿宋_GB2312" w:cs="仿宋_GB2312"/>
          <w:sz w:val="32"/>
          <w:szCs w:val="32"/>
          <w:highlight w:val="none"/>
        </w:rPr>
        <w:t>月</w:t>
      </w:r>
      <w:r>
        <w:rPr>
          <w:rFonts w:hint="eastAsia" w:ascii="仿宋_GB2312" w:hAnsi="仿宋_GB2312" w:eastAsia="仿宋_GB2312" w:cs="仿宋_GB2312"/>
          <w:sz w:val="32"/>
          <w:szCs w:val="32"/>
          <w:highlight w:val="none"/>
        </w:rPr>
        <w:t xml:space="preserve">     </w:t>
      </w:r>
      <w:r>
        <w:rPr>
          <w:rFonts w:ascii="仿宋_GB2312" w:hAnsi="仿宋_GB2312" w:eastAsia="仿宋_GB2312" w:cs="仿宋_GB2312"/>
          <w:sz w:val="32"/>
          <w:szCs w:val="32"/>
          <w:highlight w:val="none"/>
        </w:rPr>
        <w:tab/>
      </w:r>
      <w:r>
        <w:rPr>
          <w:rFonts w:ascii="仿宋_GB2312" w:hAnsi="仿宋_GB2312" w:eastAsia="仿宋_GB2312" w:cs="仿宋_GB2312"/>
          <w:sz w:val="32"/>
          <w:szCs w:val="32"/>
          <w:highlight w:val="none"/>
        </w:rPr>
        <w:t>日</w:t>
      </w:r>
    </w:p>
    <w:p w14:paraId="08D4922C">
      <w:pPr>
        <w:spacing w:line="360" w:lineRule="auto"/>
        <w:ind w:left="2520" w:leftChars="1200"/>
        <w:rPr>
          <w:rFonts w:ascii="仿宋_GB2312" w:hAnsi="仿宋_GB2312" w:eastAsia="仿宋_GB2312" w:cs="仿宋_GB2312"/>
          <w:sz w:val="32"/>
          <w:szCs w:val="32"/>
          <w:highlight w:val="none"/>
        </w:rPr>
      </w:pPr>
    </w:p>
    <w:p w14:paraId="5112D440">
      <w:pPr>
        <w:rPr>
          <w:highlight w:val="none"/>
        </w:rPr>
      </w:pPr>
    </w:p>
    <w:p w14:paraId="767B72CA">
      <w:pPr>
        <w:keepNext w:val="0"/>
        <w:keepLines w:val="0"/>
        <w:pageBreakBefore w:val="0"/>
        <w:widowControl w:val="0"/>
        <w:kinsoku/>
        <w:wordWrap/>
        <w:overflowPunct/>
        <w:topLinePunct w:val="0"/>
        <w:autoSpaceDE/>
        <w:autoSpaceDN/>
        <w:bidi w:val="0"/>
        <w:adjustRightInd/>
        <w:snapToGrid/>
        <w:spacing w:line="500" w:lineRule="exact"/>
        <w:ind w:firstLine="560" w:firstLineChars="200"/>
        <w:jc w:val="right"/>
        <w:textAlignment w:val="auto"/>
        <w:rPr>
          <w:rFonts w:hint="default" w:ascii="仿宋_GB2312" w:hAnsi="仿宋_GB2312" w:eastAsia="仿宋_GB2312" w:cs="仿宋_GB2312"/>
          <w:sz w:val="28"/>
          <w:szCs w:val="28"/>
          <w:highlight w:val="none"/>
          <w:lang w:val="en-US" w:eastAsia="zh-CN" w:bidi="ar"/>
        </w:rPr>
        <w:sectPr>
          <w:pgSz w:w="11906" w:h="16838"/>
          <w:pgMar w:top="1440" w:right="1080" w:bottom="1440" w:left="1080" w:header="851" w:footer="992" w:gutter="0"/>
          <w:pgNumType w:fmt="decimal"/>
          <w:cols w:space="0" w:num="1"/>
          <w:rtlGutter w:val="0"/>
          <w:docGrid w:type="lines" w:linePitch="312" w:charSpace="0"/>
        </w:sectPr>
      </w:pPr>
      <w:bookmarkStart w:id="0" w:name="_Toc287614844"/>
      <w:bookmarkStart w:id="1" w:name="_Toc436398685"/>
      <w:bookmarkStart w:id="2" w:name="_Toc287537731"/>
      <w:bookmarkStart w:id="3" w:name="_Toc477769362"/>
      <w:bookmarkStart w:id="4" w:name="_Toc479838101"/>
      <w:bookmarkStart w:id="5" w:name="_Toc477768468"/>
      <w:bookmarkStart w:id="6" w:name="_Toc438626590"/>
      <w:bookmarkStart w:id="7" w:name="_Toc6461"/>
      <w:bookmarkStart w:id="8" w:name="_Toc479594668"/>
    </w:p>
    <w:p w14:paraId="18B47405">
      <w:pPr>
        <w:jc w:val="left"/>
        <w:rPr>
          <w:rFonts w:hint="eastAsia" w:ascii="黑体" w:hAnsi="黑体" w:eastAsia="黑体" w:cs="黑体"/>
          <w:sz w:val="32"/>
          <w:szCs w:val="32"/>
          <w:highlight w:val="none"/>
          <w:lang w:val="en-US" w:eastAsia="zh-CN" w:bidi="ar"/>
        </w:rPr>
      </w:pPr>
      <w:r>
        <w:rPr>
          <w:rFonts w:hint="eastAsia" w:ascii="黑体" w:hAnsi="黑体" w:eastAsia="黑体" w:cs="黑体"/>
          <w:sz w:val="32"/>
          <w:szCs w:val="32"/>
          <w:highlight w:val="none"/>
          <w:lang w:val="en-US" w:eastAsia="zh-CN" w:bidi="ar"/>
        </w:rPr>
        <w:t>附件1</w:t>
      </w:r>
    </w:p>
    <w:p w14:paraId="2B3F2267">
      <w:pPr>
        <w:jc w:val="center"/>
        <w:rPr>
          <w:rFonts w:hint="eastAsia" w:ascii="黑体" w:hAnsi="黑体" w:eastAsia="黑体" w:cs="黑体"/>
          <w:sz w:val="32"/>
          <w:szCs w:val="32"/>
          <w:highlight w:val="none"/>
          <w:lang w:bidi="ar"/>
        </w:rPr>
      </w:pPr>
      <w:r>
        <w:rPr>
          <w:rFonts w:hint="eastAsia" w:ascii="黑体" w:hAnsi="黑体" w:eastAsia="黑体" w:cs="黑体"/>
          <w:sz w:val="32"/>
          <w:szCs w:val="32"/>
          <w:highlight w:val="none"/>
          <w:lang w:bidi="ar"/>
        </w:rPr>
        <w:t>授权委托书</w:t>
      </w:r>
    </w:p>
    <w:p w14:paraId="186EFCFA">
      <w:pPr>
        <w:jc w:val="center"/>
        <w:rPr>
          <w:rFonts w:hint="eastAsia" w:ascii="黑体" w:hAnsi="黑体" w:eastAsia="黑体" w:cs="黑体"/>
          <w:sz w:val="32"/>
          <w:szCs w:val="32"/>
          <w:highlight w:val="none"/>
          <w:lang w:bidi="ar"/>
        </w:rPr>
      </w:pPr>
    </w:p>
    <w:p w14:paraId="4AF0EB97">
      <w:pPr>
        <w:snapToGrid w:val="0"/>
        <w:spacing w:after="312" w:afterLines="100" w:line="360" w:lineRule="auto"/>
        <w:rPr>
          <w:rFonts w:ascii="仿宋_GB2312" w:hAnsi="微软雅黑" w:eastAsia="仿宋_GB2312" w:cs="微软雅黑"/>
          <w:sz w:val="28"/>
          <w:szCs w:val="28"/>
          <w:highlight w:val="none"/>
          <w:u w:val="single"/>
        </w:rPr>
      </w:pPr>
      <w:r>
        <w:rPr>
          <w:rFonts w:hint="eastAsia" w:ascii="仿宋_GB2312" w:hAnsi="微软雅黑" w:eastAsia="仿宋_GB2312" w:cs="微软雅黑"/>
          <w:sz w:val="28"/>
          <w:szCs w:val="28"/>
          <w:highlight w:val="none"/>
        </w:rPr>
        <w:t>致：</w:t>
      </w:r>
      <w:r>
        <w:rPr>
          <w:rFonts w:ascii="仿宋_GB2312" w:hAnsi="微软雅黑" w:eastAsia="仿宋_GB2312" w:cs="微软雅黑"/>
          <w:sz w:val="28"/>
          <w:szCs w:val="28"/>
          <w:highlight w:val="none"/>
          <w:u w:val="single"/>
        </w:rPr>
        <w:t xml:space="preserve">      （采购人）</w:t>
      </w:r>
      <w:bookmarkEnd w:id="0"/>
      <w:bookmarkEnd w:id="1"/>
      <w:bookmarkEnd w:id="2"/>
      <w:bookmarkEnd w:id="3"/>
      <w:bookmarkEnd w:id="4"/>
      <w:bookmarkEnd w:id="5"/>
      <w:bookmarkEnd w:id="6"/>
      <w:bookmarkEnd w:id="7"/>
      <w:bookmarkEnd w:id="8"/>
      <w:r>
        <w:rPr>
          <w:rFonts w:ascii="仿宋_GB2312" w:hAnsi="微软雅黑" w:eastAsia="仿宋_GB2312" w:cs="微软雅黑"/>
          <w:sz w:val="28"/>
          <w:szCs w:val="28"/>
          <w:highlight w:val="none"/>
          <w:u w:val="single"/>
        </w:rPr>
        <w:t xml:space="preserve">     </w:t>
      </w:r>
    </w:p>
    <w:p w14:paraId="231D1390">
      <w:pPr>
        <w:snapToGrid w:val="0"/>
        <w:spacing w:after="312" w:afterLines="100" w:line="360" w:lineRule="auto"/>
        <w:ind w:firstLine="560" w:firstLineChars="200"/>
        <w:rPr>
          <w:rFonts w:ascii="仿宋_GB2312" w:hAnsi="微软雅黑" w:eastAsia="仿宋_GB2312" w:cs="微软雅黑"/>
          <w:sz w:val="28"/>
          <w:szCs w:val="28"/>
          <w:highlight w:val="none"/>
        </w:rPr>
      </w:pPr>
      <w:r>
        <w:rPr>
          <w:rFonts w:hint="eastAsia" w:ascii="仿宋_GB2312" w:hAnsi="微软雅黑" w:eastAsia="仿宋_GB2312" w:cs="微软雅黑"/>
          <w:sz w:val="28"/>
          <w:szCs w:val="28"/>
          <w:highlight w:val="none"/>
        </w:rPr>
        <w:t>本授权书声明：注册于</w:t>
      </w:r>
      <w:r>
        <w:rPr>
          <w:rFonts w:ascii="仿宋_GB2312" w:hAnsi="微软雅黑" w:eastAsia="仿宋_GB2312" w:cs="微软雅黑"/>
          <w:sz w:val="28"/>
          <w:szCs w:val="28"/>
          <w:highlight w:val="none"/>
        </w:rPr>
        <w:t xml:space="preserve"> </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u w:val="single"/>
        </w:rPr>
        <w:t>（供应商住址）</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rPr>
        <w:t>的</w:t>
      </w:r>
      <w:r>
        <w:rPr>
          <w:rFonts w:ascii="仿宋_GB2312" w:hAnsi="微软雅黑" w:eastAsia="仿宋_GB2312" w:cs="微软雅黑"/>
          <w:sz w:val="28"/>
          <w:szCs w:val="28"/>
          <w:highlight w:val="none"/>
        </w:rPr>
        <w:t xml:space="preserve"> </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u w:val="single"/>
        </w:rPr>
        <w:t>（供应商名称）</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rPr>
        <w:t>法定代表人</w:t>
      </w:r>
      <w:r>
        <w:rPr>
          <w:rFonts w:ascii="仿宋_GB2312" w:hAnsi="微软雅黑" w:eastAsia="仿宋_GB2312" w:cs="微软雅黑"/>
          <w:sz w:val="28"/>
          <w:szCs w:val="28"/>
          <w:highlight w:val="none"/>
        </w:rPr>
        <w:t xml:space="preserve"> </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u w:val="single"/>
        </w:rPr>
        <w:t>（法定代表人姓名、职务）</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rPr>
        <w:t>代表本公司授权在下面签字的</w:t>
      </w:r>
      <w:r>
        <w:rPr>
          <w:rFonts w:ascii="仿宋_GB2312" w:hAnsi="微软雅黑" w:eastAsia="仿宋_GB2312" w:cs="微软雅黑"/>
          <w:sz w:val="28"/>
          <w:szCs w:val="28"/>
          <w:highlight w:val="none"/>
        </w:rPr>
        <w:t xml:space="preserve"> </w:t>
      </w:r>
      <w:r>
        <w:rPr>
          <w:rFonts w:hint="eastAsia" w:ascii="仿宋_GB2312" w:hAnsi="微软雅黑" w:eastAsia="仿宋_GB2312" w:cs="微软雅黑"/>
          <w:sz w:val="28"/>
          <w:szCs w:val="28"/>
          <w:highlight w:val="none"/>
          <w:u w:val="single"/>
        </w:rPr>
        <w:t>（供应商代表姓名、职务）</w:t>
      </w:r>
      <w:r>
        <w:rPr>
          <w:rFonts w:hint="eastAsia" w:ascii="仿宋_GB2312" w:hAnsi="微软雅黑" w:eastAsia="仿宋_GB2312" w:cs="微软雅黑"/>
          <w:sz w:val="28"/>
          <w:szCs w:val="28"/>
          <w:highlight w:val="none"/>
        </w:rPr>
        <w:t>为本公司的合法代理人，就贵方组织的</w:t>
      </w:r>
      <w:r>
        <w:rPr>
          <w:rFonts w:ascii="仿宋_GB2312" w:hAnsi="微软雅黑" w:eastAsia="仿宋_GB2312" w:cs="微软雅黑"/>
          <w:sz w:val="28"/>
          <w:szCs w:val="28"/>
          <w:highlight w:val="none"/>
          <w:u w:val="single"/>
        </w:rPr>
        <w:t xml:space="preserve"> </w:t>
      </w:r>
      <w:r>
        <w:rPr>
          <w:rFonts w:hint="eastAsia" w:ascii="仿宋_GB2312" w:hAnsi="微软雅黑" w:eastAsia="仿宋_GB2312" w:cs="微软雅黑"/>
          <w:sz w:val="28"/>
          <w:szCs w:val="28"/>
          <w:highlight w:val="none"/>
          <w:u w:val="single"/>
          <w:lang w:val="en-US" w:eastAsia="zh-CN"/>
        </w:rPr>
        <w:t xml:space="preserve">      </w:t>
      </w:r>
      <w:r>
        <w:rPr>
          <w:rFonts w:hint="eastAsia"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rPr>
        <w:t>项目</w:t>
      </w:r>
      <w:r>
        <w:rPr>
          <w:rFonts w:hint="eastAsia" w:ascii="仿宋_GB2312" w:hAnsi="微软雅黑" w:eastAsia="仿宋_GB2312" w:cs="微软雅黑"/>
          <w:sz w:val="28"/>
          <w:szCs w:val="28"/>
          <w:highlight w:val="none"/>
        </w:rPr>
        <w:t>以本公司名义处理一切与此项目有关的采购及合同签署事宜。</w:t>
      </w:r>
    </w:p>
    <w:p w14:paraId="4F39F8BA">
      <w:pPr>
        <w:snapToGrid w:val="0"/>
        <w:spacing w:before="312" w:beforeLines="100" w:line="480" w:lineRule="auto"/>
        <w:rPr>
          <w:rFonts w:ascii="仿宋_GB2312" w:hAnsi="微软雅黑" w:eastAsia="仿宋_GB2312" w:cs="微软雅黑"/>
          <w:sz w:val="28"/>
          <w:szCs w:val="28"/>
          <w:highlight w:val="none"/>
        </w:rPr>
      </w:pPr>
      <w:r>
        <w:rPr>
          <w:rFonts w:hint="eastAsia" w:ascii="仿宋_GB2312" w:hAnsi="微软雅黑" w:eastAsia="仿宋_GB2312" w:cs="微软雅黑"/>
          <w:sz w:val="28"/>
          <w:szCs w:val="28"/>
          <w:highlight w:val="none"/>
        </w:rPr>
        <w:t>本授权书于</w:t>
      </w:r>
      <w:r>
        <w:rPr>
          <w:rFonts w:ascii="仿宋_GB2312" w:hAnsi="微软雅黑" w:eastAsia="仿宋_GB2312" w:cs="微软雅黑"/>
          <w:sz w:val="28"/>
          <w:szCs w:val="28"/>
          <w:highlight w:val="none"/>
        </w:rPr>
        <w:t xml:space="preserve">    </w:t>
      </w:r>
      <w:r>
        <w:rPr>
          <w:rFonts w:hint="eastAsia" w:ascii="仿宋_GB2312" w:hAnsi="微软雅黑" w:eastAsia="仿宋_GB2312" w:cs="微软雅黑"/>
          <w:sz w:val="28"/>
          <w:szCs w:val="28"/>
          <w:highlight w:val="none"/>
        </w:rPr>
        <w:t>年</w:t>
      </w:r>
      <w:r>
        <w:rPr>
          <w:rFonts w:ascii="仿宋_GB2312" w:hAnsi="微软雅黑" w:eastAsia="仿宋_GB2312" w:cs="微软雅黑"/>
          <w:sz w:val="28"/>
          <w:szCs w:val="28"/>
          <w:highlight w:val="none"/>
        </w:rPr>
        <w:t xml:space="preserve">   </w:t>
      </w:r>
      <w:r>
        <w:rPr>
          <w:rFonts w:hint="eastAsia" w:ascii="仿宋_GB2312" w:hAnsi="微软雅黑" w:eastAsia="仿宋_GB2312" w:cs="微软雅黑"/>
          <w:sz w:val="28"/>
          <w:szCs w:val="28"/>
          <w:highlight w:val="none"/>
        </w:rPr>
        <w:t>月</w:t>
      </w:r>
      <w:r>
        <w:rPr>
          <w:rFonts w:ascii="仿宋_GB2312" w:hAnsi="微软雅黑" w:eastAsia="仿宋_GB2312" w:cs="微软雅黑"/>
          <w:sz w:val="28"/>
          <w:szCs w:val="28"/>
          <w:highlight w:val="none"/>
        </w:rPr>
        <w:t xml:space="preserve">   </w:t>
      </w:r>
      <w:r>
        <w:rPr>
          <w:rFonts w:hint="eastAsia" w:ascii="仿宋_GB2312" w:hAnsi="微软雅黑" w:eastAsia="仿宋_GB2312" w:cs="微软雅黑"/>
          <w:sz w:val="28"/>
          <w:szCs w:val="28"/>
          <w:highlight w:val="none"/>
        </w:rPr>
        <w:t>日签字生效，特此声明。</w:t>
      </w:r>
    </w:p>
    <w:p w14:paraId="4BEA334D">
      <w:pPr>
        <w:snapToGrid w:val="0"/>
        <w:spacing w:after="156" w:afterLines="50" w:line="480" w:lineRule="auto"/>
        <w:rPr>
          <w:rFonts w:ascii="仿宋_GB2312" w:hAnsi="微软雅黑" w:eastAsia="仿宋_GB2312" w:cs="微软雅黑"/>
          <w:sz w:val="28"/>
          <w:szCs w:val="28"/>
          <w:highlight w:val="none"/>
        </w:rPr>
      </w:pPr>
      <w:r>
        <w:rPr>
          <w:rFonts w:hint="eastAsia" w:ascii="仿宋_GB2312" w:hAnsi="微软雅黑" w:eastAsia="仿宋_GB2312" w:cs="微软雅黑"/>
          <w:sz w:val="28"/>
          <w:szCs w:val="28"/>
          <w:highlight w:val="none"/>
        </w:rPr>
        <w:t>法定代表人印刷体姓名、签字</w:t>
      </w:r>
      <w:r>
        <w:rPr>
          <w:rFonts w:hint="eastAsia" w:ascii="仿宋_GB2312" w:hAnsi="微软雅黑" w:eastAsia="仿宋_GB2312" w:cs="微软雅黑"/>
          <w:sz w:val="28"/>
          <w:szCs w:val="28"/>
          <w:highlight w:val="none"/>
          <w:lang w:val="en-US" w:eastAsia="zh-CN"/>
        </w:rPr>
        <w:t>或人名</w:t>
      </w:r>
      <w:r>
        <w:rPr>
          <w:rFonts w:hint="eastAsia" w:ascii="仿宋_GB2312" w:hAnsi="微软雅黑" w:eastAsia="仿宋_GB2312" w:cs="微软雅黑"/>
          <w:sz w:val="28"/>
          <w:szCs w:val="28"/>
          <w:highlight w:val="none"/>
        </w:rPr>
        <w:t>盖章：</w:t>
      </w:r>
      <w:r>
        <w:rPr>
          <w:rFonts w:ascii="仿宋_GB2312" w:hAnsi="微软雅黑" w:eastAsia="仿宋_GB2312" w:cs="微软雅黑"/>
          <w:sz w:val="28"/>
          <w:szCs w:val="28"/>
          <w:highlight w:val="none"/>
          <w:u w:val="single"/>
        </w:rPr>
        <w:t xml:space="preserve">                               </w:t>
      </w:r>
    </w:p>
    <w:p w14:paraId="264FA808">
      <w:pPr>
        <w:snapToGrid w:val="0"/>
        <w:spacing w:after="156" w:afterLines="50" w:line="480" w:lineRule="auto"/>
        <w:rPr>
          <w:rFonts w:ascii="仿宋_GB2312" w:hAnsi="微软雅黑" w:eastAsia="仿宋_GB2312" w:cs="微软雅黑"/>
          <w:sz w:val="28"/>
          <w:szCs w:val="28"/>
          <w:highlight w:val="none"/>
        </w:rPr>
      </w:pPr>
      <w:r>
        <w:rPr>
          <w:rFonts w:hint="eastAsia" w:ascii="仿宋_GB2312" w:hAnsi="微软雅黑" w:eastAsia="仿宋_GB2312" w:cs="微软雅黑"/>
          <w:sz w:val="28"/>
          <w:szCs w:val="28"/>
          <w:highlight w:val="none"/>
        </w:rPr>
        <w:t>供应商授权代表印刷体姓名、签字</w:t>
      </w:r>
      <w:r>
        <w:rPr>
          <w:rFonts w:hint="eastAsia" w:ascii="仿宋_GB2312" w:hAnsi="微软雅黑" w:eastAsia="仿宋_GB2312" w:cs="微软雅黑"/>
          <w:sz w:val="28"/>
          <w:szCs w:val="28"/>
          <w:highlight w:val="none"/>
          <w:lang w:val="en-US" w:eastAsia="zh-CN"/>
        </w:rPr>
        <w:t>或人名</w:t>
      </w:r>
      <w:r>
        <w:rPr>
          <w:rFonts w:hint="eastAsia" w:ascii="仿宋_GB2312" w:hAnsi="微软雅黑" w:eastAsia="仿宋_GB2312" w:cs="微软雅黑"/>
          <w:sz w:val="28"/>
          <w:szCs w:val="28"/>
          <w:highlight w:val="none"/>
        </w:rPr>
        <w:t>盖章：</w:t>
      </w:r>
      <w:r>
        <w:rPr>
          <w:rFonts w:ascii="仿宋_GB2312" w:hAnsi="微软雅黑" w:eastAsia="仿宋_GB2312" w:cs="微软雅黑"/>
          <w:sz w:val="28"/>
          <w:szCs w:val="28"/>
          <w:highlight w:val="none"/>
          <w:u w:val="single"/>
        </w:rPr>
        <w:t xml:space="preserve">                               </w:t>
      </w:r>
    </w:p>
    <w:p w14:paraId="08025005">
      <w:pPr>
        <w:snapToGrid w:val="0"/>
        <w:spacing w:after="156" w:afterLines="50" w:line="480" w:lineRule="auto"/>
        <w:rPr>
          <w:rFonts w:ascii="仿宋_GB2312" w:hAnsi="微软雅黑" w:eastAsia="仿宋_GB2312" w:cs="微软雅黑"/>
          <w:sz w:val="28"/>
          <w:szCs w:val="28"/>
          <w:highlight w:val="none"/>
        </w:rPr>
      </w:pPr>
      <w:r>
        <w:rPr>
          <w:rFonts w:hint="eastAsia" w:ascii="仿宋_GB2312" w:hAnsi="微软雅黑" w:eastAsia="仿宋_GB2312" w:cs="微软雅黑"/>
          <w:sz w:val="28"/>
          <w:szCs w:val="28"/>
          <w:highlight w:val="none"/>
        </w:rPr>
        <w:t>供应商全称、公章：</w:t>
      </w:r>
      <w:r>
        <w:rPr>
          <w:rFonts w:ascii="仿宋_GB2312" w:hAnsi="微软雅黑" w:eastAsia="仿宋_GB2312" w:cs="微软雅黑"/>
          <w:sz w:val="28"/>
          <w:szCs w:val="28"/>
          <w:highlight w:val="none"/>
          <w:u w:val="single"/>
        </w:rPr>
        <w:t xml:space="preserve">                      </w:t>
      </w:r>
      <w:r>
        <w:rPr>
          <w:rFonts w:ascii="仿宋_GB2312" w:hAnsi="微软雅黑" w:eastAsia="仿宋_GB2312" w:cs="微软雅黑"/>
          <w:sz w:val="28"/>
          <w:szCs w:val="28"/>
          <w:highlight w:val="none"/>
          <w:u w:val="single"/>
        </w:rPr>
        <w:tab/>
      </w:r>
    </w:p>
    <w:tbl>
      <w:tblPr>
        <w:tblStyle w:val="13"/>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40"/>
        <w:gridCol w:w="4840"/>
      </w:tblGrid>
      <w:tr w14:paraId="7D2333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3" w:hRule="atLeast"/>
        </w:trPr>
        <w:tc>
          <w:tcPr>
            <w:tcW w:w="4840" w:type="dxa"/>
            <w:tcBorders>
              <w:top w:val="single" w:color="auto" w:sz="4" w:space="0"/>
              <w:left w:val="single" w:color="auto" w:sz="4" w:space="0"/>
              <w:bottom w:val="single" w:color="auto" w:sz="4" w:space="0"/>
              <w:right w:val="single" w:color="auto" w:sz="4" w:space="0"/>
            </w:tcBorders>
            <w:noWrap w:val="0"/>
            <w:vAlign w:val="center"/>
          </w:tcPr>
          <w:p w14:paraId="6490D01A">
            <w:pPr>
              <w:snapToGrid w:val="0"/>
              <w:spacing w:after="468" w:afterLines="150" w:line="480" w:lineRule="auto"/>
              <w:jc w:val="center"/>
              <w:rPr>
                <w:rFonts w:ascii="仿宋_GB2312" w:hAnsi="微软雅黑" w:eastAsia="仿宋_GB2312"/>
                <w:sz w:val="28"/>
                <w:szCs w:val="28"/>
                <w:highlight w:val="none"/>
              </w:rPr>
            </w:pPr>
            <w:r>
              <w:rPr>
                <w:rFonts w:hint="eastAsia" w:ascii="仿宋_GB2312" w:hAnsi="微软雅黑" w:eastAsia="仿宋_GB2312"/>
                <w:sz w:val="28"/>
                <w:szCs w:val="28"/>
                <w:highlight w:val="none"/>
              </w:rPr>
              <w:t>法定代表人身份证复印件（双面）</w:t>
            </w:r>
          </w:p>
        </w:tc>
        <w:tc>
          <w:tcPr>
            <w:tcW w:w="4840" w:type="dxa"/>
            <w:tcBorders>
              <w:top w:val="single" w:color="auto" w:sz="4" w:space="0"/>
              <w:left w:val="single" w:color="auto" w:sz="4" w:space="0"/>
              <w:bottom w:val="single" w:color="auto" w:sz="4" w:space="0"/>
              <w:right w:val="single" w:color="auto" w:sz="4" w:space="0"/>
            </w:tcBorders>
            <w:noWrap w:val="0"/>
            <w:vAlign w:val="center"/>
          </w:tcPr>
          <w:p w14:paraId="1BA682F9">
            <w:pPr>
              <w:snapToGrid w:val="0"/>
              <w:spacing w:after="468" w:afterLines="150" w:line="480" w:lineRule="auto"/>
              <w:jc w:val="center"/>
              <w:rPr>
                <w:rFonts w:ascii="仿宋_GB2312" w:hAnsi="微软雅黑" w:eastAsia="仿宋_GB2312"/>
                <w:sz w:val="28"/>
                <w:szCs w:val="28"/>
                <w:highlight w:val="none"/>
              </w:rPr>
            </w:pPr>
            <w:r>
              <w:rPr>
                <w:rFonts w:hint="eastAsia" w:ascii="仿宋_GB2312" w:hAnsi="微软雅黑" w:eastAsia="仿宋_GB2312"/>
                <w:sz w:val="28"/>
                <w:szCs w:val="28"/>
                <w:highlight w:val="none"/>
              </w:rPr>
              <w:t>授权代表身份证复印件（双面）</w:t>
            </w:r>
          </w:p>
        </w:tc>
      </w:tr>
    </w:tbl>
    <w:p w14:paraId="5F03F224">
      <w:pPr>
        <w:rPr>
          <w:highlight w:val="none"/>
        </w:rPr>
      </w:pPr>
    </w:p>
    <w:p w14:paraId="40622473">
      <w:pPr>
        <w:rPr>
          <w:highlight w:val="none"/>
        </w:rPr>
      </w:pPr>
    </w:p>
    <w:p w14:paraId="022BB065">
      <w:pPr>
        <w:snapToGrid w:val="0"/>
        <w:spacing w:after="468" w:afterLines="150" w:line="480" w:lineRule="auto"/>
        <w:jc w:val="left"/>
        <w:rPr>
          <w:rFonts w:hint="default" w:ascii="仿宋_GB2312" w:hAnsi="微软雅黑" w:eastAsia="仿宋_GB2312"/>
          <w:sz w:val="18"/>
          <w:szCs w:val="18"/>
          <w:highlight w:val="none"/>
          <w:lang w:val="en-US" w:eastAsia="zh-CN"/>
        </w:rPr>
        <w:sectPr>
          <w:pgSz w:w="11906" w:h="16838"/>
          <w:pgMar w:top="1440" w:right="1080" w:bottom="1440" w:left="1080" w:header="851" w:footer="992" w:gutter="0"/>
          <w:pgNumType w:fmt="decimal"/>
          <w:cols w:space="0" w:num="1"/>
          <w:rtlGutter w:val="0"/>
          <w:docGrid w:type="lines" w:linePitch="312" w:charSpace="0"/>
        </w:sectPr>
      </w:pPr>
      <w:r>
        <w:rPr>
          <w:rFonts w:hint="eastAsia" w:ascii="仿宋_GB2312" w:hAnsi="微软雅黑" w:eastAsia="仿宋_GB2312"/>
          <w:sz w:val="18"/>
          <w:szCs w:val="18"/>
          <w:highlight w:val="none"/>
          <w:lang w:val="en-US" w:eastAsia="zh-CN"/>
        </w:rPr>
        <w:t>备注：如无授权代表可不提供，但必须提供法定代表人身份证复印件同时签字/盖章。</w:t>
      </w:r>
    </w:p>
    <w:p w14:paraId="000B3536">
      <w:pPr>
        <w:jc w:val="left"/>
        <w:rPr>
          <w:rFonts w:hint="eastAsia" w:ascii="黑体" w:hAnsi="黑体" w:eastAsia="黑体" w:cs="黑体"/>
          <w:sz w:val="32"/>
          <w:szCs w:val="32"/>
          <w:highlight w:val="none"/>
          <w:lang w:val="en-US" w:eastAsia="zh-CN" w:bidi="ar"/>
        </w:rPr>
      </w:pPr>
      <w:r>
        <w:rPr>
          <w:rFonts w:hint="eastAsia" w:ascii="黑体" w:hAnsi="黑体" w:eastAsia="黑体" w:cs="黑体"/>
          <w:sz w:val="32"/>
          <w:szCs w:val="32"/>
          <w:highlight w:val="none"/>
          <w:lang w:val="en-US" w:eastAsia="zh-CN" w:bidi="ar"/>
        </w:rPr>
        <w:t>附件2</w:t>
      </w:r>
    </w:p>
    <w:p w14:paraId="4A71B286">
      <w:pPr>
        <w:jc w:val="center"/>
        <w:rPr>
          <w:rFonts w:hint="eastAsia" w:ascii="黑体" w:hAnsi="黑体" w:eastAsia="黑体" w:cs="黑体"/>
          <w:sz w:val="32"/>
          <w:szCs w:val="32"/>
          <w:highlight w:val="none"/>
          <w:lang w:bidi="ar"/>
        </w:rPr>
      </w:pPr>
      <w:r>
        <w:rPr>
          <w:rFonts w:hint="eastAsia" w:ascii="黑体" w:hAnsi="黑体" w:eastAsia="黑体" w:cs="黑体"/>
          <w:sz w:val="32"/>
          <w:szCs w:val="32"/>
          <w:highlight w:val="none"/>
          <w:lang w:bidi="ar"/>
        </w:rPr>
        <w:t>法定代表人身份证明</w:t>
      </w:r>
    </w:p>
    <w:p w14:paraId="61FFD97B">
      <w:pPr>
        <w:spacing w:line="480" w:lineRule="auto"/>
        <w:rPr>
          <w:rFonts w:hint="eastAsia" w:ascii="仿宋_GB2312" w:hAnsi="微软雅黑" w:eastAsia="仿宋_GB2312"/>
          <w:sz w:val="28"/>
          <w:szCs w:val="28"/>
          <w:highlight w:val="none"/>
        </w:rPr>
      </w:pPr>
    </w:p>
    <w:p w14:paraId="6CAC6C64">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供应商名称：</w:t>
      </w:r>
      <w:r>
        <w:rPr>
          <w:rFonts w:ascii="仿宋_GB2312" w:hAnsi="微软雅黑" w:eastAsia="仿宋_GB2312"/>
          <w:sz w:val="28"/>
          <w:szCs w:val="28"/>
          <w:highlight w:val="none"/>
          <w:u w:val="single"/>
        </w:rPr>
        <w:t xml:space="preserve">                                         </w:t>
      </w:r>
    </w:p>
    <w:p w14:paraId="117F950B">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单位性质：</w:t>
      </w:r>
      <w:r>
        <w:rPr>
          <w:rFonts w:ascii="仿宋_GB2312" w:hAnsi="微软雅黑" w:eastAsia="仿宋_GB2312"/>
          <w:sz w:val="28"/>
          <w:szCs w:val="28"/>
          <w:highlight w:val="none"/>
          <w:u w:val="single"/>
        </w:rPr>
        <w:t xml:space="preserve">                                           </w:t>
      </w:r>
    </w:p>
    <w:p w14:paraId="6D670A1E">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成立时间：</w:t>
      </w:r>
      <w:r>
        <w:rPr>
          <w:rFonts w:ascii="仿宋_GB2312" w:hAnsi="微软雅黑" w:eastAsia="仿宋_GB2312"/>
          <w:sz w:val="28"/>
          <w:szCs w:val="28"/>
          <w:highlight w:val="none"/>
          <w:u w:val="single"/>
        </w:rPr>
        <w:t xml:space="preserve">                                           </w:t>
      </w:r>
    </w:p>
    <w:p w14:paraId="36B033AA">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经营范围：</w:t>
      </w:r>
      <w:r>
        <w:rPr>
          <w:rFonts w:ascii="仿宋_GB2312" w:hAnsi="微软雅黑" w:eastAsia="仿宋_GB2312"/>
          <w:sz w:val="28"/>
          <w:szCs w:val="28"/>
          <w:highlight w:val="none"/>
          <w:u w:val="single"/>
        </w:rPr>
        <w:t xml:space="preserve">                                           </w:t>
      </w:r>
    </w:p>
    <w:p w14:paraId="43055860">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姓名：</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rPr>
        <w:t>性别</w:t>
      </w:r>
      <w:r>
        <w:rPr>
          <w:rFonts w:hint="eastAsia" w:ascii="仿宋_GB2312" w:hAnsi="微软雅黑" w:eastAsia="仿宋_GB2312"/>
          <w:sz w:val="28"/>
          <w:szCs w:val="28"/>
          <w:highlight w:val="none"/>
          <w:lang w:eastAsia="zh-CN"/>
        </w:rPr>
        <w:t>：</w:t>
      </w:r>
      <w:r>
        <w:rPr>
          <w:rFonts w:ascii="仿宋_GB2312" w:hAnsi="微软雅黑" w:eastAsia="仿宋_GB2312"/>
          <w:sz w:val="28"/>
          <w:szCs w:val="28"/>
          <w:highlight w:val="none"/>
          <w:u w:val="single"/>
        </w:rPr>
        <w:t xml:space="preserve">       </w:t>
      </w:r>
      <w:r>
        <w:rPr>
          <w:rFonts w:ascii="仿宋_GB2312" w:hAnsi="微软雅黑" w:eastAsia="仿宋_GB2312"/>
          <w:sz w:val="28"/>
          <w:szCs w:val="28"/>
          <w:highlight w:val="none"/>
        </w:rPr>
        <w:t xml:space="preserve"> </w:t>
      </w:r>
      <w:r>
        <w:rPr>
          <w:rFonts w:hint="eastAsia" w:ascii="仿宋_GB2312" w:hAnsi="微软雅黑" w:eastAsia="仿宋_GB2312"/>
          <w:sz w:val="28"/>
          <w:szCs w:val="28"/>
          <w:highlight w:val="none"/>
        </w:rPr>
        <w:t>年龄：</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u w:val="single"/>
          <w:lang w:val="en-US" w:eastAsia="zh-CN"/>
        </w:rPr>
        <w:t xml:space="preserve">  </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u w:val="single"/>
          <w:lang w:val="en-US" w:eastAsia="zh-CN"/>
        </w:rPr>
        <w:t xml:space="preserve">  </w:t>
      </w:r>
      <w:r>
        <w:rPr>
          <w:rFonts w:hint="eastAsia" w:ascii="仿宋_GB2312" w:hAnsi="微软雅黑" w:eastAsia="仿宋_GB2312"/>
          <w:sz w:val="28"/>
          <w:szCs w:val="28"/>
          <w:highlight w:val="none"/>
        </w:rPr>
        <w:t>职位：</w:t>
      </w:r>
      <w:r>
        <w:rPr>
          <w:rFonts w:ascii="仿宋_GB2312" w:hAnsi="微软雅黑" w:eastAsia="仿宋_GB2312"/>
          <w:sz w:val="28"/>
          <w:szCs w:val="28"/>
          <w:highlight w:val="none"/>
          <w:u w:val="single"/>
        </w:rPr>
        <w:t xml:space="preserve">      </w:t>
      </w:r>
    </w:p>
    <w:p w14:paraId="434985A3">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系</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u w:val="single"/>
        </w:rPr>
        <w:t>（供应商名称）</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rPr>
        <w:t>的法定代表人。</w:t>
      </w:r>
    </w:p>
    <w:p w14:paraId="215A07F2">
      <w:pPr>
        <w:spacing w:line="480" w:lineRule="auto"/>
        <w:rPr>
          <w:rFonts w:ascii="仿宋_GB2312" w:hAnsi="微软雅黑" w:eastAsia="仿宋_GB2312"/>
          <w:sz w:val="28"/>
          <w:szCs w:val="28"/>
          <w:highlight w:val="none"/>
        </w:rPr>
      </w:pPr>
      <w:r>
        <w:rPr>
          <w:rFonts w:hint="eastAsia" w:ascii="仿宋_GB2312" w:hAnsi="微软雅黑" w:eastAsia="仿宋_GB2312"/>
          <w:sz w:val="28"/>
          <w:szCs w:val="28"/>
          <w:highlight w:val="none"/>
        </w:rPr>
        <w:t>特此证明。</w:t>
      </w:r>
    </w:p>
    <w:p w14:paraId="25760DFB">
      <w:pPr>
        <w:spacing w:line="480" w:lineRule="auto"/>
        <w:rPr>
          <w:rFonts w:ascii="仿宋_GB2312" w:hAnsi="微软雅黑"/>
          <w:sz w:val="28"/>
          <w:szCs w:val="28"/>
          <w:highlight w:val="none"/>
        </w:rPr>
      </w:pPr>
    </w:p>
    <w:p w14:paraId="763B6FDD">
      <w:pPr>
        <w:spacing w:line="480" w:lineRule="auto"/>
        <w:rPr>
          <w:rFonts w:ascii="仿宋_GB2312" w:hAnsi="微软雅黑"/>
          <w:sz w:val="28"/>
          <w:szCs w:val="28"/>
          <w:highlight w:val="none"/>
        </w:rPr>
      </w:pPr>
    </w:p>
    <w:p w14:paraId="222BCD45">
      <w:pPr>
        <w:spacing w:line="480" w:lineRule="auto"/>
        <w:ind w:firstLine="6580" w:firstLineChars="2350"/>
        <w:jc w:val="right"/>
        <w:rPr>
          <w:rFonts w:ascii="仿宋_GB2312" w:hAnsi="微软雅黑" w:eastAsia="仿宋_GB2312"/>
          <w:sz w:val="28"/>
          <w:szCs w:val="28"/>
          <w:highlight w:val="none"/>
          <w:u w:val="single"/>
        </w:rPr>
      </w:pPr>
      <w:r>
        <w:rPr>
          <w:rFonts w:hint="eastAsia" w:ascii="仿宋_GB2312" w:hAnsi="微软雅黑"/>
          <w:sz w:val="28"/>
          <w:szCs w:val="28"/>
          <w:highlight w:val="none"/>
        </w:rPr>
        <w:t xml:space="preserve">                               </w:t>
      </w:r>
      <w:r>
        <w:rPr>
          <w:rFonts w:ascii="仿宋_GB2312" w:hAnsi="微软雅黑" w:eastAsia="仿宋_GB2312"/>
          <w:sz w:val="28"/>
          <w:szCs w:val="28"/>
          <w:highlight w:val="none"/>
        </w:rPr>
        <w:t xml:space="preserve"> </w:t>
      </w:r>
      <w:r>
        <w:rPr>
          <w:rFonts w:hint="eastAsia" w:ascii="仿宋_GB2312" w:hAnsi="微软雅黑" w:eastAsia="仿宋_GB2312"/>
          <w:sz w:val="28"/>
          <w:szCs w:val="28"/>
          <w:highlight w:val="none"/>
        </w:rPr>
        <w:t>供应商</w:t>
      </w:r>
      <w:r>
        <w:rPr>
          <w:rFonts w:hint="eastAsia" w:ascii="仿宋_GB2312" w:hAnsi="微软雅黑" w:eastAsia="仿宋_GB2312"/>
          <w:sz w:val="28"/>
          <w:szCs w:val="28"/>
          <w:highlight w:val="none"/>
          <w:u w:val="single"/>
        </w:rPr>
        <w:t>：</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u w:val="single"/>
        </w:rPr>
        <w:t>（公</w:t>
      </w:r>
      <w:r>
        <w:rPr>
          <w:rFonts w:ascii="仿宋_GB2312" w:hAnsi="微软雅黑" w:eastAsia="仿宋_GB2312"/>
          <w:sz w:val="28"/>
          <w:szCs w:val="28"/>
          <w:highlight w:val="none"/>
          <w:u w:val="single"/>
        </w:rPr>
        <w:t xml:space="preserve"> </w:t>
      </w:r>
      <w:r>
        <w:rPr>
          <w:rFonts w:hint="eastAsia" w:ascii="仿宋_GB2312" w:hAnsi="微软雅黑" w:eastAsia="仿宋_GB2312"/>
          <w:sz w:val="28"/>
          <w:szCs w:val="28"/>
          <w:highlight w:val="none"/>
          <w:u w:val="single"/>
        </w:rPr>
        <w:t>章）</w:t>
      </w:r>
      <w:r>
        <w:rPr>
          <w:rFonts w:ascii="仿宋_GB2312" w:hAnsi="微软雅黑" w:eastAsia="仿宋_GB2312"/>
          <w:sz w:val="28"/>
          <w:szCs w:val="28"/>
          <w:highlight w:val="none"/>
          <w:u w:val="single"/>
        </w:rPr>
        <w:t xml:space="preserve">    </w:t>
      </w:r>
    </w:p>
    <w:p w14:paraId="2B5DF58A">
      <w:pPr>
        <w:spacing w:line="480" w:lineRule="auto"/>
        <w:jc w:val="right"/>
        <w:rPr>
          <w:rFonts w:ascii="仿宋_GB2312" w:hAnsi="微软雅黑" w:eastAsia="仿宋_GB2312"/>
          <w:sz w:val="28"/>
          <w:szCs w:val="28"/>
          <w:highlight w:val="none"/>
        </w:rPr>
      </w:pPr>
      <w:r>
        <w:rPr>
          <w:rFonts w:ascii="仿宋_GB2312" w:hAnsi="微软雅黑" w:eastAsia="仿宋_GB2312"/>
          <w:sz w:val="28"/>
          <w:szCs w:val="28"/>
          <w:highlight w:val="none"/>
        </w:rPr>
        <w:t xml:space="preserve">                                       </w:t>
      </w:r>
      <w:r>
        <w:rPr>
          <w:rFonts w:hint="eastAsia" w:ascii="仿宋_GB2312" w:hAnsi="微软雅黑" w:eastAsia="仿宋_GB2312"/>
          <w:sz w:val="28"/>
          <w:szCs w:val="28"/>
          <w:highlight w:val="none"/>
        </w:rPr>
        <w:t xml:space="preserve">      年</w:t>
      </w:r>
      <w:r>
        <w:rPr>
          <w:rFonts w:ascii="仿宋_GB2312" w:hAnsi="微软雅黑" w:eastAsia="仿宋_GB2312"/>
          <w:sz w:val="28"/>
          <w:szCs w:val="28"/>
          <w:highlight w:val="none"/>
        </w:rPr>
        <w:t xml:space="preserve">  </w:t>
      </w:r>
      <w:r>
        <w:rPr>
          <w:rFonts w:hint="eastAsia" w:ascii="仿宋_GB2312" w:hAnsi="微软雅黑" w:eastAsia="仿宋_GB2312"/>
          <w:sz w:val="28"/>
          <w:szCs w:val="28"/>
          <w:highlight w:val="none"/>
          <w:lang w:val="en-US" w:eastAsia="zh-CN"/>
        </w:rPr>
        <w:t xml:space="preserve"> </w:t>
      </w:r>
      <w:r>
        <w:rPr>
          <w:rFonts w:ascii="仿宋_GB2312" w:hAnsi="微软雅黑" w:eastAsia="仿宋_GB2312"/>
          <w:sz w:val="28"/>
          <w:szCs w:val="28"/>
          <w:highlight w:val="none"/>
        </w:rPr>
        <w:t xml:space="preserve"> </w:t>
      </w:r>
      <w:r>
        <w:rPr>
          <w:rFonts w:hint="eastAsia" w:ascii="仿宋_GB2312" w:hAnsi="微软雅黑" w:eastAsia="仿宋_GB2312"/>
          <w:sz w:val="28"/>
          <w:szCs w:val="28"/>
          <w:highlight w:val="none"/>
        </w:rPr>
        <w:t>月</w:t>
      </w:r>
      <w:r>
        <w:rPr>
          <w:rFonts w:ascii="仿宋_GB2312" w:hAnsi="微软雅黑" w:eastAsia="仿宋_GB2312"/>
          <w:sz w:val="28"/>
          <w:szCs w:val="28"/>
          <w:highlight w:val="none"/>
        </w:rPr>
        <w:t xml:space="preserve"> </w:t>
      </w:r>
      <w:r>
        <w:rPr>
          <w:rFonts w:hint="eastAsia" w:ascii="仿宋_GB2312" w:hAnsi="微软雅黑" w:eastAsia="仿宋_GB2312"/>
          <w:sz w:val="28"/>
          <w:szCs w:val="28"/>
          <w:highlight w:val="none"/>
          <w:lang w:val="en-US" w:eastAsia="zh-CN"/>
        </w:rPr>
        <w:t xml:space="preserve"> </w:t>
      </w:r>
      <w:r>
        <w:rPr>
          <w:rFonts w:ascii="仿宋_GB2312" w:hAnsi="微软雅黑" w:eastAsia="仿宋_GB2312"/>
          <w:sz w:val="28"/>
          <w:szCs w:val="28"/>
          <w:highlight w:val="none"/>
        </w:rPr>
        <w:t xml:space="preserve">  日</w:t>
      </w:r>
    </w:p>
    <w:p w14:paraId="7A9C722E">
      <w:pPr>
        <w:spacing w:line="480" w:lineRule="auto"/>
        <w:rPr>
          <w:rFonts w:ascii="微软雅黑" w:hAnsi="微软雅黑" w:eastAsia="微软雅黑"/>
          <w:sz w:val="28"/>
          <w:szCs w:val="28"/>
          <w:highlight w:val="none"/>
        </w:rPr>
      </w:pPr>
    </w:p>
    <w:p w14:paraId="6CE5D6EE">
      <w:pPr>
        <w:pStyle w:val="17"/>
        <w:rPr>
          <w:rFonts w:ascii="微软雅黑" w:hAnsi="微软雅黑" w:eastAsia="微软雅黑"/>
          <w:sz w:val="28"/>
          <w:szCs w:val="28"/>
          <w:highlight w:val="none"/>
        </w:rPr>
        <w:sectPr>
          <w:footerReference r:id="rId7" w:type="default"/>
          <w:pgSz w:w="11906" w:h="16838"/>
          <w:pgMar w:top="1440" w:right="1080" w:bottom="1440" w:left="1080" w:header="851" w:footer="992" w:gutter="0"/>
          <w:pgNumType w:fmt="decimal"/>
          <w:cols w:space="720" w:num="1"/>
          <w:docGrid w:type="lines" w:linePitch="312" w:charSpace="0"/>
        </w:sectPr>
      </w:pPr>
    </w:p>
    <w:p w14:paraId="3FAC1D57">
      <w:pPr>
        <w:pStyle w:val="17"/>
        <w:numPr>
          <w:ilvl w:val="0"/>
          <w:numId w:val="0"/>
        </w:numPr>
        <w:jc w:val="left"/>
        <w:rPr>
          <w:rFonts w:hint="eastAsia"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附件3</w:t>
      </w:r>
    </w:p>
    <w:p w14:paraId="34E2F830">
      <w:pPr>
        <w:pStyle w:val="17"/>
        <w:numPr>
          <w:ilvl w:val="0"/>
          <w:numId w:val="0"/>
        </w:numPr>
        <w:jc w:val="center"/>
        <w:rPr>
          <w:rFonts w:hint="eastAsia" w:ascii="黑体" w:hAnsi="黑体" w:eastAsia="黑体" w:cs="黑体"/>
          <w:sz w:val="32"/>
          <w:szCs w:val="32"/>
          <w:highlight w:val="none"/>
          <w:lang w:val="en-US" w:eastAsia="zh-CN"/>
        </w:rPr>
      </w:pPr>
      <w:r>
        <w:rPr>
          <w:rFonts w:hint="eastAsia" w:ascii="黑体" w:hAnsi="黑体" w:eastAsia="黑体" w:cs="黑体"/>
          <w:sz w:val="32"/>
          <w:szCs w:val="32"/>
          <w:highlight w:val="none"/>
          <w:lang w:val="en-US" w:eastAsia="zh-CN"/>
        </w:rPr>
        <w:t>供应商资格证明</w:t>
      </w:r>
    </w:p>
    <w:p w14:paraId="5FE13EC7">
      <w:pPr>
        <w:keepNext w:val="0"/>
        <w:keepLines w:val="0"/>
        <w:pageBreakBefore w:val="0"/>
        <w:widowControl/>
        <w:kinsoku/>
        <w:overflowPunct/>
        <w:topLinePunct w:val="0"/>
        <w:autoSpaceDE/>
        <w:autoSpaceDN/>
        <w:bidi w:val="0"/>
        <w:adjustRightInd/>
        <w:snapToGrid/>
        <w:spacing w:line="500" w:lineRule="exact"/>
        <w:ind w:firstLine="1152" w:firstLineChars="4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1.营业执照（具备水污染治理等相关内容）；</w:t>
      </w:r>
    </w:p>
    <w:p w14:paraId="37324B06">
      <w:pPr>
        <w:keepNext w:val="0"/>
        <w:keepLines w:val="0"/>
        <w:pageBreakBefore w:val="0"/>
        <w:widowControl/>
        <w:kinsoku/>
        <w:overflowPunct/>
        <w:topLinePunct w:val="0"/>
        <w:autoSpaceDE/>
        <w:autoSpaceDN/>
        <w:bidi w:val="0"/>
        <w:adjustRightInd/>
        <w:snapToGrid/>
        <w:spacing w:line="500" w:lineRule="exact"/>
        <w:ind w:firstLine="1152" w:firstLineChars="400"/>
        <w:textAlignment w:val="auto"/>
        <w:rPr>
          <w:rFonts w:hint="eastAsia"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2.安全生产许可证；</w:t>
      </w:r>
    </w:p>
    <w:p w14:paraId="5B424276">
      <w:pPr>
        <w:keepNext w:val="0"/>
        <w:keepLines w:val="0"/>
        <w:pageBreakBefore w:val="0"/>
        <w:widowControl/>
        <w:kinsoku/>
        <w:overflowPunct/>
        <w:topLinePunct w:val="0"/>
        <w:autoSpaceDE/>
        <w:autoSpaceDN/>
        <w:bidi w:val="0"/>
        <w:adjustRightInd/>
        <w:snapToGrid/>
        <w:spacing w:line="500" w:lineRule="exact"/>
        <w:ind w:firstLine="1152" w:firstLineChars="400"/>
        <w:textAlignment w:val="auto"/>
        <w:rPr>
          <w:rFonts w:hint="default" w:ascii="仿宋_GB2312" w:hAnsi="仿宋" w:eastAsia="仿宋_GB2312" w:cs="宋体"/>
          <w:spacing w:val="4"/>
          <w:sz w:val="28"/>
          <w:szCs w:val="28"/>
          <w:highlight w:val="none"/>
          <w:lang w:val="en-US" w:eastAsia="zh-CN"/>
        </w:rPr>
      </w:pPr>
      <w:r>
        <w:rPr>
          <w:rFonts w:hint="eastAsia" w:ascii="仿宋_GB2312" w:hAnsi="仿宋" w:eastAsia="仿宋_GB2312" w:cs="宋体"/>
          <w:spacing w:val="4"/>
          <w:sz w:val="28"/>
          <w:szCs w:val="28"/>
          <w:highlight w:val="none"/>
          <w:lang w:val="en-US" w:eastAsia="zh-CN"/>
        </w:rPr>
        <w:t>3.供应商认为与本项目有关的其他资质。</w:t>
      </w:r>
    </w:p>
    <w:p w14:paraId="34EC0CA7">
      <w:pPr>
        <w:keepNext w:val="0"/>
        <w:keepLines w:val="0"/>
        <w:pageBreakBefore w:val="0"/>
        <w:widowControl/>
        <w:kinsoku/>
        <w:overflowPunct/>
        <w:topLinePunct w:val="0"/>
        <w:autoSpaceDE/>
        <w:autoSpaceDN/>
        <w:bidi w:val="0"/>
        <w:adjustRightInd/>
        <w:snapToGrid/>
        <w:spacing w:line="500" w:lineRule="exact"/>
        <w:ind w:firstLine="576" w:firstLineChars="200"/>
        <w:textAlignment w:val="auto"/>
        <w:rPr>
          <w:rFonts w:hint="eastAsia" w:ascii="仿宋_GB2312" w:hAnsi="仿宋" w:eastAsia="仿宋_GB2312" w:cs="宋体"/>
          <w:spacing w:val="4"/>
          <w:sz w:val="28"/>
          <w:szCs w:val="28"/>
          <w:highlight w:val="none"/>
          <w:lang w:val="en-US" w:eastAsia="zh-CN"/>
        </w:rPr>
      </w:pPr>
    </w:p>
    <w:p w14:paraId="45871E2F">
      <w:pPr>
        <w:pStyle w:val="17"/>
        <w:numPr>
          <w:ilvl w:val="0"/>
          <w:numId w:val="0"/>
        </w:numPr>
        <w:jc w:val="both"/>
        <w:rPr>
          <w:rFonts w:hint="default" w:ascii="黑体" w:hAnsi="黑体" w:eastAsia="黑体" w:cs="黑体"/>
          <w:sz w:val="28"/>
          <w:szCs w:val="28"/>
          <w:highlight w:val="none"/>
          <w:lang w:val="en-US" w:eastAsia="zh-CN"/>
        </w:rPr>
      </w:pPr>
    </w:p>
    <w:p w14:paraId="6572BBDE">
      <w:pPr>
        <w:adjustRightInd w:val="0"/>
        <w:snapToGrid w:val="0"/>
        <w:spacing w:line="360" w:lineRule="auto"/>
        <w:ind w:firstLine="560" w:firstLineChars="200"/>
        <w:rPr>
          <w:rFonts w:hint="eastAsia" w:ascii="仿宋_GB2312" w:eastAsia="仿宋_GB2312"/>
          <w:color w:val="000000"/>
          <w:sz w:val="28"/>
          <w:szCs w:val="28"/>
          <w:highlight w:val="none"/>
          <w:lang w:val="en-US" w:eastAsia="zh-CN"/>
        </w:rPr>
      </w:pPr>
    </w:p>
    <w:p w14:paraId="288BF5C1">
      <w:pPr>
        <w:adjustRightInd w:val="0"/>
        <w:snapToGrid w:val="0"/>
        <w:spacing w:line="360" w:lineRule="auto"/>
        <w:ind w:firstLine="560" w:firstLineChars="200"/>
        <w:rPr>
          <w:rFonts w:hint="eastAsia" w:ascii="仿宋_GB2312" w:eastAsia="仿宋_GB2312"/>
          <w:color w:val="000000"/>
          <w:sz w:val="28"/>
          <w:szCs w:val="28"/>
          <w:highlight w:val="none"/>
          <w:lang w:val="en-US" w:eastAsia="zh-CN"/>
        </w:rPr>
      </w:pPr>
    </w:p>
    <w:p w14:paraId="7F595224">
      <w:pPr>
        <w:adjustRightInd w:val="0"/>
        <w:snapToGrid w:val="0"/>
        <w:spacing w:line="360" w:lineRule="auto"/>
        <w:rPr>
          <w:rFonts w:hint="eastAsia" w:ascii="仿宋_GB2312" w:eastAsia="仿宋_GB2312"/>
          <w:color w:val="000000"/>
          <w:sz w:val="28"/>
          <w:szCs w:val="28"/>
          <w:highlight w:val="none"/>
          <w:lang w:val="en-US" w:eastAsia="zh-CN"/>
        </w:rPr>
        <w:sectPr>
          <w:pgSz w:w="11906" w:h="16838"/>
          <w:pgMar w:top="1440" w:right="1080" w:bottom="1440" w:left="1080" w:header="851" w:footer="992" w:gutter="0"/>
          <w:pgNumType w:fmt="decimal"/>
          <w:cols w:space="720" w:num="1"/>
          <w:docGrid w:type="lines" w:linePitch="312" w:charSpace="0"/>
        </w:sectPr>
      </w:pPr>
    </w:p>
    <w:p w14:paraId="6DF8382E">
      <w:pPr>
        <w:pStyle w:val="17"/>
        <w:numPr>
          <w:ilvl w:val="0"/>
          <w:numId w:val="0"/>
        </w:numPr>
        <w:jc w:val="left"/>
        <w:rPr>
          <w:rFonts w:hint="eastAsia"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附件4</w:t>
      </w:r>
    </w:p>
    <w:p w14:paraId="6B79D3A2">
      <w:pPr>
        <w:pStyle w:val="17"/>
        <w:numPr>
          <w:ilvl w:val="0"/>
          <w:numId w:val="0"/>
        </w:numPr>
        <w:jc w:val="center"/>
        <w:rPr>
          <w:rFonts w:hint="default"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反腐败承诺书（乙方）</w:t>
      </w:r>
    </w:p>
    <w:p w14:paraId="5064FB57">
      <w:pPr>
        <w:keepNext w:val="0"/>
        <w:keepLines w:val="0"/>
        <w:pageBreakBefore w:val="0"/>
        <w:widowControl w:val="0"/>
        <w:kinsoku/>
        <w:wordWrap/>
        <w:overflowPunct/>
        <w:topLinePunct w:val="0"/>
        <w:autoSpaceDE/>
        <w:autoSpaceDN/>
        <w:bidi w:val="0"/>
        <w:adjustRightInd w:val="0"/>
        <w:snapToGrid w:val="0"/>
        <w:spacing w:line="480" w:lineRule="exact"/>
        <w:ind w:firstLine="360" w:firstLineChars="200"/>
        <w:textAlignment w:val="auto"/>
        <w:rPr>
          <w:rFonts w:hint="eastAsia" w:ascii="仿宋_GB2312" w:hAnsi="微软雅黑" w:eastAsia="仿宋_GB2312"/>
          <w:sz w:val="18"/>
          <w:szCs w:val="18"/>
          <w:highlight w:val="none"/>
        </w:rPr>
      </w:pPr>
    </w:p>
    <w:p w14:paraId="183F5363">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为营造守法诚信、廉洁高效的工作环境，防止违规违纪行为的发生，我公司郑重承诺如下：</w:t>
      </w:r>
    </w:p>
    <w:p w14:paraId="55B9455D">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1.我公司不会以任何形式向贵司工作人员及其亲属、特定关系人（以下简称贵司相关人员）支付回扣、手续费等好处费。</w:t>
      </w:r>
    </w:p>
    <w:p w14:paraId="3ED474EA">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2.我公司不会以任何形式向贵司相关人员赠送礼品礼金、有价证券等，不会为其报销应由个人支付的各种费用，不会将钱物借给贵司相关人员。</w:t>
      </w:r>
    </w:p>
    <w:p w14:paraId="7767CAEF">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3.我公司不会以考察、参观、洽谈业务、签订合同等借口，邀请贵司相关人员参加可能对合同履行有影响的宴请、外出旅游、各种娱乐活动。</w:t>
      </w:r>
    </w:p>
    <w:p w14:paraId="56DC44F8">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4.我公司不会为贵司相关人员在其住房装修、婚丧嫁娶、亲属工作安排等方面提供各种方便。</w:t>
      </w:r>
    </w:p>
    <w:p w14:paraId="52590F21">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5.我公司不会为谋取不正当利益与贵司相关人员就合作关系的事项进行私下商谈或者达成利益默契。</w:t>
      </w:r>
    </w:p>
    <w:p w14:paraId="1683AA85">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6.我公司不会通过其他任何方式，为贵司相关人员谋取不正当利益。</w:t>
      </w:r>
    </w:p>
    <w:p w14:paraId="5ADC04AE">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我司若发现贵司工作人员在业务活动中有违反贵司《采购项目廉洁自律手册》的行为，我司将予以拒绝并要求贵司工作人员予以纠正。对于无法拒绝或贵司工作人员不予纠正的，我司将及时向中国纺织纪委举报。若贵司纪委按照有关法律法规规定，向我司有关人员进行询问、调查，我司有关人员将予以协助，并如实及时提供相关线索、证据和资料。</w:t>
      </w:r>
    </w:p>
    <w:p w14:paraId="76121729">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若我公司有关人员违反本《反腐败承诺书》，我司愿接受贵司责令整改、暂停业务往来、取消业务往来、纳入“合作方黑名单”等处理，并接受国家监察机关或司法机关依纪依法作出的任何处理。</w:t>
      </w:r>
    </w:p>
    <w:p w14:paraId="7CBF159C">
      <w:pPr>
        <w:keepNext w:val="0"/>
        <w:keepLines w:val="0"/>
        <w:pageBreakBefore w:val="0"/>
        <w:widowControl w:val="0"/>
        <w:kinsoku/>
        <w:wordWrap/>
        <w:overflowPunct/>
        <w:topLinePunct w:val="0"/>
        <w:autoSpaceDE/>
        <w:autoSpaceDN/>
        <w:bidi w:val="0"/>
        <w:adjustRightInd w:val="0"/>
        <w:snapToGrid w:val="0"/>
        <w:spacing w:line="480" w:lineRule="exact"/>
        <w:ind w:firstLine="560" w:firstLineChars="200"/>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特此承诺。</w:t>
      </w:r>
    </w:p>
    <w:p w14:paraId="3A979F6C">
      <w:pPr>
        <w:keepNext w:val="0"/>
        <w:keepLines w:val="0"/>
        <w:pageBreakBefore w:val="0"/>
        <w:widowControl w:val="0"/>
        <w:kinsoku/>
        <w:wordWrap/>
        <w:overflowPunct/>
        <w:topLinePunct w:val="0"/>
        <w:autoSpaceDE/>
        <w:autoSpaceDN/>
        <w:bidi w:val="0"/>
        <w:adjustRightInd w:val="0"/>
        <w:snapToGrid w:val="0"/>
        <w:spacing w:line="460" w:lineRule="exact"/>
        <w:ind w:firstLine="560" w:firstLineChars="200"/>
        <w:textAlignment w:val="auto"/>
        <w:rPr>
          <w:rFonts w:hint="eastAsia" w:ascii="仿宋_GB2312" w:hAnsi="微软雅黑" w:eastAsia="仿宋_GB2312"/>
          <w:sz w:val="28"/>
          <w:szCs w:val="28"/>
          <w:highlight w:val="none"/>
        </w:rPr>
      </w:pPr>
    </w:p>
    <w:p w14:paraId="7EB24B98">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right"/>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rPr>
        <w:t xml:space="preserve">         公司全称（盖章）</w:t>
      </w:r>
    </w:p>
    <w:p w14:paraId="328FDEB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right"/>
        <w:textAlignment w:val="auto"/>
        <w:rPr>
          <w:rFonts w:hint="eastAsia" w:ascii="仿宋_GB2312" w:hAnsi="微软雅黑" w:eastAsia="仿宋_GB2312"/>
          <w:sz w:val="28"/>
          <w:szCs w:val="28"/>
          <w:highlight w:val="none"/>
        </w:rPr>
      </w:pPr>
      <w:r>
        <w:rPr>
          <w:rFonts w:hint="eastAsia" w:ascii="仿宋_GB2312" w:hAnsi="微软雅黑" w:eastAsia="仿宋_GB2312"/>
          <w:sz w:val="28"/>
          <w:szCs w:val="28"/>
          <w:highlight w:val="none"/>
          <w:lang w:val="en-US" w:eastAsia="zh-CN"/>
        </w:rPr>
        <w:t xml:space="preserve"> </w:t>
      </w:r>
      <w:r>
        <w:rPr>
          <w:rFonts w:hint="eastAsia" w:ascii="仿宋_GB2312" w:hAnsi="微软雅黑" w:eastAsia="仿宋_GB2312"/>
          <w:sz w:val="28"/>
          <w:szCs w:val="28"/>
          <w:highlight w:val="none"/>
        </w:rPr>
        <w:t>年</w:t>
      </w:r>
      <w:r>
        <w:rPr>
          <w:rFonts w:hint="eastAsia" w:ascii="仿宋_GB2312" w:hAnsi="微软雅黑" w:eastAsia="仿宋_GB2312"/>
          <w:sz w:val="28"/>
          <w:szCs w:val="28"/>
          <w:highlight w:val="none"/>
          <w:lang w:val="en-US" w:eastAsia="zh-CN"/>
        </w:rPr>
        <w:t xml:space="preserve">    </w:t>
      </w:r>
      <w:r>
        <w:rPr>
          <w:rFonts w:hint="eastAsia" w:ascii="仿宋_GB2312" w:hAnsi="微软雅黑" w:eastAsia="仿宋_GB2312"/>
          <w:sz w:val="28"/>
          <w:szCs w:val="28"/>
          <w:highlight w:val="none"/>
        </w:rPr>
        <w:t>月</w:t>
      </w:r>
      <w:r>
        <w:rPr>
          <w:rFonts w:hint="eastAsia" w:ascii="仿宋_GB2312" w:hAnsi="微软雅黑" w:eastAsia="仿宋_GB2312"/>
          <w:sz w:val="28"/>
          <w:szCs w:val="28"/>
          <w:highlight w:val="none"/>
          <w:lang w:val="en-US" w:eastAsia="zh-CN"/>
        </w:rPr>
        <w:t xml:space="preserve">   </w:t>
      </w:r>
      <w:r>
        <w:rPr>
          <w:rFonts w:hint="eastAsia" w:ascii="仿宋_GB2312" w:hAnsi="微软雅黑" w:eastAsia="仿宋_GB2312"/>
          <w:sz w:val="28"/>
          <w:szCs w:val="28"/>
          <w:highlight w:val="none"/>
        </w:rPr>
        <w:t>日</w:t>
      </w:r>
    </w:p>
    <w:p w14:paraId="2E8950FB">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right"/>
        <w:textAlignment w:val="auto"/>
        <w:rPr>
          <w:rFonts w:hint="eastAsia" w:ascii="仿宋_GB2312" w:hAnsi="微软雅黑" w:eastAsia="仿宋_GB2312"/>
          <w:sz w:val="28"/>
          <w:szCs w:val="28"/>
          <w:highlight w:val="none"/>
        </w:rPr>
        <w:sectPr>
          <w:pgSz w:w="11906" w:h="16838"/>
          <w:pgMar w:top="1440" w:right="1080" w:bottom="1440" w:left="1080" w:header="851" w:footer="992" w:gutter="0"/>
          <w:pgNumType w:fmt="decimal"/>
          <w:cols w:space="720" w:num="1"/>
          <w:docGrid w:type="lines" w:linePitch="312" w:charSpace="0"/>
        </w:sectPr>
      </w:pPr>
    </w:p>
    <w:p w14:paraId="34965853">
      <w:pPr>
        <w:pStyle w:val="17"/>
        <w:numPr>
          <w:ilvl w:val="0"/>
          <w:numId w:val="0"/>
        </w:numPr>
        <w:ind w:left="0" w:leftChars="0" w:firstLine="0" w:firstLineChars="0"/>
        <w:jc w:val="left"/>
        <w:rPr>
          <w:rFonts w:hint="eastAsia"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附件5</w:t>
      </w:r>
    </w:p>
    <w:p w14:paraId="5A6C894E">
      <w:pPr>
        <w:pStyle w:val="17"/>
        <w:numPr>
          <w:ilvl w:val="0"/>
          <w:numId w:val="0"/>
        </w:numPr>
        <w:ind w:left="0" w:leftChars="0" w:firstLine="0" w:firstLineChars="0"/>
        <w:jc w:val="center"/>
        <w:rPr>
          <w:rFonts w:hint="eastAsia"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无重大违法记录声明（参考版）</w:t>
      </w:r>
    </w:p>
    <w:p w14:paraId="3F8813C6">
      <w:pPr>
        <w:pStyle w:val="17"/>
        <w:numPr>
          <w:ilvl w:val="0"/>
          <w:numId w:val="0"/>
        </w:numPr>
        <w:jc w:val="both"/>
        <w:rPr>
          <w:rFonts w:hint="default" w:ascii="黑体" w:hAnsi="黑体" w:eastAsia="黑体" w:cs="黑体"/>
          <w:sz w:val="24"/>
          <w:szCs w:val="24"/>
          <w:highlight w:val="none"/>
          <w:lang w:val="en-US" w:eastAsia="zh-CN" w:bidi="ar-SA"/>
        </w:rPr>
      </w:pPr>
    </w:p>
    <w:p w14:paraId="4A59D442">
      <w:pPr>
        <w:widowControl/>
        <w:shd w:val="clear" w:color="auto" w:fill="FFFFFF"/>
        <w:spacing w:line="560" w:lineRule="atLeast"/>
        <w:ind w:firstLine="480"/>
        <w:jc w:val="lef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rPr>
        <w:t>我单位现参与</w:t>
      </w:r>
      <w:r>
        <w:rPr>
          <w:rFonts w:hint="eastAsia" w:ascii="仿宋_GB2312" w:eastAsia="仿宋_GB2312" w:cs="仿宋"/>
          <w:color w:val="000000"/>
          <w:sz w:val="28"/>
          <w:szCs w:val="28"/>
          <w:highlight w:val="none"/>
          <w:u w:val="single"/>
          <w:lang w:val="en-US" w:eastAsia="zh-CN"/>
        </w:rPr>
        <w:t xml:space="preserve">                      </w:t>
      </w:r>
      <w:r>
        <w:rPr>
          <w:rFonts w:hint="eastAsia" w:ascii="仿宋_GB2312" w:eastAsia="仿宋_GB2312" w:cs="仿宋"/>
          <w:color w:val="000000"/>
          <w:sz w:val="28"/>
          <w:szCs w:val="28"/>
          <w:highlight w:val="none"/>
        </w:rPr>
        <w:t>项目</w:t>
      </w:r>
      <w:r>
        <w:rPr>
          <w:rFonts w:hint="eastAsia" w:ascii="仿宋_GB2312" w:eastAsia="仿宋_GB2312" w:cs="仿宋"/>
          <w:color w:val="000000"/>
          <w:sz w:val="28"/>
          <w:szCs w:val="28"/>
          <w:highlight w:val="none"/>
          <w:lang w:val="en-US" w:eastAsia="zh-CN"/>
        </w:rPr>
        <w:t>竞价</w:t>
      </w:r>
      <w:r>
        <w:rPr>
          <w:rFonts w:hint="eastAsia" w:ascii="仿宋_GB2312" w:eastAsia="仿宋_GB2312" w:cs="仿宋"/>
          <w:color w:val="000000"/>
          <w:sz w:val="28"/>
          <w:szCs w:val="28"/>
          <w:highlight w:val="none"/>
        </w:rPr>
        <w:t>，并作出如下声明：</w:t>
      </w:r>
    </w:p>
    <w:p w14:paraId="22106492">
      <w:pPr>
        <w:widowControl/>
        <w:shd w:val="clear" w:color="auto" w:fill="FFFFFF"/>
        <w:spacing w:line="560" w:lineRule="atLeast"/>
        <w:ind w:firstLine="480"/>
        <w:jc w:val="lef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rPr>
        <w:t>我单位在参加本次采购活动前3年内，在经营活动中没有重大违法记录。</w:t>
      </w:r>
    </w:p>
    <w:p w14:paraId="54522F27">
      <w:pPr>
        <w:widowControl/>
        <w:shd w:val="clear" w:color="auto" w:fill="FFFFFF"/>
        <w:spacing w:line="560" w:lineRule="atLeast"/>
        <w:ind w:firstLine="480"/>
        <w:jc w:val="left"/>
        <w:rPr>
          <w:rFonts w:ascii="仿宋_GB2312" w:eastAsia="仿宋_GB2312" w:cs="仿宋"/>
          <w:color w:val="000000"/>
          <w:sz w:val="24"/>
          <w:szCs w:val="24"/>
          <w:highlight w:val="none"/>
        </w:rPr>
      </w:pPr>
      <w:r>
        <w:rPr>
          <w:rFonts w:ascii="仿宋_GB2312" w:eastAsia="仿宋_GB2312" w:cs="Calibri"/>
          <w:color w:val="000000"/>
          <w:sz w:val="28"/>
          <w:szCs w:val="28"/>
          <w:highlight w:val="none"/>
        </w:rPr>
        <w:t> </w:t>
      </w:r>
    </w:p>
    <w:p w14:paraId="6F60411C">
      <w:pPr>
        <w:widowControl/>
        <w:shd w:val="clear" w:color="auto" w:fill="FFFFFF"/>
        <w:spacing w:line="560" w:lineRule="atLeast"/>
        <w:ind w:firstLine="480"/>
        <w:jc w:val="lef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rPr>
        <w:t>特此声明。</w:t>
      </w:r>
    </w:p>
    <w:p w14:paraId="7CB20F54">
      <w:pPr>
        <w:widowControl/>
        <w:shd w:val="clear" w:color="auto" w:fill="FFFFFF"/>
        <w:spacing w:line="560" w:lineRule="atLeast"/>
        <w:jc w:val="righ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lang w:val="en-US" w:eastAsia="zh-CN"/>
        </w:rPr>
        <w:t>供应商</w:t>
      </w:r>
      <w:r>
        <w:rPr>
          <w:rFonts w:hint="eastAsia" w:ascii="仿宋_GB2312" w:eastAsia="仿宋_GB2312" w:cs="仿宋"/>
          <w:color w:val="000000"/>
          <w:sz w:val="28"/>
          <w:szCs w:val="28"/>
          <w:highlight w:val="none"/>
        </w:rPr>
        <w:t>（公章）：</w:t>
      </w:r>
    </w:p>
    <w:p w14:paraId="1A04B16F">
      <w:pPr>
        <w:widowControl/>
        <w:shd w:val="clear" w:color="auto" w:fill="FFFFFF"/>
        <w:spacing w:line="560" w:lineRule="atLeast"/>
        <w:jc w:val="right"/>
        <w:rPr>
          <w:rFonts w:hint="eastAsia" w:ascii="仿宋_GB2312" w:eastAsia="仿宋_GB2312" w:cs="仿宋"/>
          <w:color w:val="000000"/>
          <w:sz w:val="28"/>
          <w:szCs w:val="28"/>
          <w:highlight w:val="none"/>
          <w:lang w:eastAsia="zh-CN"/>
        </w:rPr>
      </w:pPr>
      <w:r>
        <w:rPr>
          <w:rFonts w:hint="eastAsia" w:ascii="仿宋_GB2312" w:eastAsia="仿宋_GB2312" w:cs="仿宋"/>
          <w:color w:val="000000"/>
          <w:sz w:val="28"/>
          <w:szCs w:val="28"/>
          <w:highlight w:val="none"/>
          <w:lang w:val="en-US" w:eastAsia="zh-CN"/>
        </w:rPr>
        <w:t>供应商授权</w:t>
      </w:r>
      <w:r>
        <w:rPr>
          <w:rFonts w:hint="eastAsia" w:ascii="仿宋_GB2312" w:eastAsia="仿宋_GB2312" w:cs="仿宋"/>
          <w:color w:val="000000"/>
          <w:sz w:val="28"/>
          <w:szCs w:val="28"/>
          <w:highlight w:val="none"/>
        </w:rPr>
        <w:t>代表签字</w:t>
      </w:r>
      <w:r>
        <w:rPr>
          <w:rFonts w:hint="eastAsia" w:ascii="仿宋_GB2312" w:eastAsia="仿宋_GB2312" w:cs="仿宋"/>
          <w:color w:val="000000"/>
          <w:sz w:val="28"/>
          <w:szCs w:val="28"/>
          <w:highlight w:val="none"/>
          <w:lang w:eastAsia="zh-CN"/>
        </w:rPr>
        <w:t>：</w:t>
      </w:r>
    </w:p>
    <w:p w14:paraId="68B600B0">
      <w:pPr>
        <w:widowControl/>
        <w:shd w:val="clear" w:color="auto" w:fill="FFFFFF"/>
        <w:spacing w:line="560" w:lineRule="atLeast"/>
        <w:jc w:val="righ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rPr>
        <w:t>年  月  日</w:t>
      </w:r>
    </w:p>
    <w:p w14:paraId="2016084E">
      <w:pPr>
        <w:widowControl/>
        <w:shd w:val="clear" w:color="auto" w:fill="FFFFFF"/>
        <w:spacing w:line="560" w:lineRule="atLeast"/>
        <w:ind w:firstLine="720"/>
        <w:jc w:val="left"/>
        <w:rPr>
          <w:rFonts w:ascii="仿宋_GB2312" w:eastAsia="仿宋_GB2312" w:cs="仿宋"/>
          <w:color w:val="000000"/>
          <w:sz w:val="28"/>
          <w:szCs w:val="28"/>
          <w:highlight w:val="none"/>
        </w:rPr>
      </w:pPr>
      <w:r>
        <w:rPr>
          <w:rFonts w:ascii="仿宋_GB2312" w:eastAsia="仿宋_GB2312" w:cs="Calibri"/>
          <w:color w:val="000000"/>
          <w:sz w:val="28"/>
          <w:szCs w:val="28"/>
          <w:highlight w:val="none"/>
        </w:rPr>
        <w:t> </w:t>
      </w:r>
    </w:p>
    <w:p w14:paraId="139E333C">
      <w:pPr>
        <w:widowControl/>
        <w:shd w:val="clear" w:color="auto" w:fill="FFFFFF"/>
        <w:spacing w:line="460" w:lineRule="atLeast"/>
        <w:ind w:left="181" w:firstLine="482"/>
        <w:jc w:val="lef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rPr>
        <w:t>注：1.重大违法记录是指供应商因违法经营受到刑事处罚或者责令停产停业、吊销许可证或者执照、较大数额罚款等行政处罚。</w:t>
      </w:r>
    </w:p>
    <w:p w14:paraId="6858DBFD">
      <w:pPr>
        <w:widowControl/>
        <w:shd w:val="clear" w:color="auto" w:fill="FFFFFF"/>
        <w:spacing w:line="460" w:lineRule="atLeast"/>
        <w:ind w:left="181" w:firstLine="960"/>
        <w:jc w:val="left"/>
        <w:rPr>
          <w:rFonts w:ascii="仿宋_GB2312" w:eastAsia="仿宋_GB2312" w:cs="仿宋"/>
          <w:color w:val="000000"/>
          <w:sz w:val="28"/>
          <w:szCs w:val="28"/>
          <w:highlight w:val="none"/>
        </w:rPr>
      </w:pPr>
      <w:r>
        <w:rPr>
          <w:rFonts w:hint="eastAsia" w:ascii="仿宋_GB2312" w:eastAsia="仿宋_GB2312" w:cs="仿宋"/>
          <w:color w:val="000000"/>
          <w:sz w:val="28"/>
          <w:szCs w:val="28"/>
          <w:highlight w:val="none"/>
        </w:rPr>
        <w:t>2.提交响应文件截止日前3年在经营活动中没有重大违法记录的书面声明函，如果截至提交响应文件截止日成立不足3年的供应商，可提供自成立以来无重大违法记录的书面声明函。</w:t>
      </w:r>
    </w:p>
    <w:p w14:paraId="6C0F6FAF">
      <w:pPr>
        <w:rPr>
          <w:rFonts w:ascii="仿宋" w:hAnsi="仿宋" w:eastAsia="仿宋"/>
          <w:bCs/>
          <w:sz w:val="28"/>
          <w:szCs w:val="28"/>
          <w:highlight w:val="none"/>
        </w:rPr>
        <w:sectPr>
          <w:footerReference r:id="rId10" w:type="first"/>
          <w:headerReference r:id="rId8" w:type="default"/>
          <w:footerReference r:id="rId9" w:type="default"/>
          <w:pgSz w:w="11906" w:h="16838"/>
          <w:pgMar w:top="1440" w:right="1080" w:bottom="1440" w:left="1080" w:header="851" w:footer="992" w:gutter="0"/>
          <w:pgNumType w:fmt="decimal"/>
          <w:cols w:space="720" w:num="1"/>
          <w:docGrid w:type="lines" w:linePitch="312" w:charSpace="0"/>
        </w:sectPr>
      </w:pPr>
    </w:p>
    <w:p w14:paraId="2C23A52D">
      <w:pPr>
        <w:pStyle w:val="17"/>
        <w:numPr>
          <w:ilvl w:val="0"/>
          <w:numId w:val="0"/>
        </w:numPr>
        <w:ind w:left="0" w:leftChars="0" w:firstLine="0" w:firstLineChars="0"/>
        <w:jc w:val="left"/>
        <w:rPr>
          <w:rFonts w:hint="default"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附件6</w:t>
      </w:r>
    </w:p>
    <w:p w14:paraId="204C0181">
      <w:pPr>
        <w:pStyle w:val="17"/>
        <w:numPr>
          <w:ilvl w:val="0"/>
          <w:numId w:val="0"/>
        </w:numPr>
        <w:ind w:left="0" w:leftChars="0" w:firstLine="0" w:firstLineChars="0"/>
        <w:jc w:val="center"/>
        <w:rPr>
          <w:rFonts w:hint="eastAsia" w:ascii="黑体" w:hAnsi="黑体" w:eastAsia="黑体" w:cs="黑体"/>
          <w:sz w:val="32"/>
          <w:szCs w:val="32"/>
          <w:highlight w:val="none"/>
          <w:lang w:val="en-US" w:eastAsia="zh-CN" w:bidi="ar-SA"/>
        </w:rPr>
      </w:pPr>
      <w:r>
        <w:rPr>
          <w:rFonts w:hint="eastAsia" w:ascii="黑体" w:hAnsi="黑体" w:eastAsia="黑体" w:cs="黑体"/>
          <w:sz w:val="32"/>
          <w:szCs w:val="32"/>
          <w:highlight w:val="none"/>
          <w:lang w:val="en-US" w:eastAsia="zh-CN" w:bidi="ar-SA"/>
        </w:rPr>
        <w:t>近三年无事故证明</w:t>
      </w:r>
    </w:p>
    <w:p w14:paraId="6521322F">
      <w:pPr>
        <w:rPr>
          <w:rFonts w:hint="eastAsia" w:ascii="仿宋" w:hAnsi="仿宋" w:eastAsia="仿宋"/>
          <w:bCs/>
          <w:sz w:val="28"/>
          <w:szCs w:val="28"/>
          <w:highlight w:val="none"/>
        </w:rPr>
      </w:pPr>
    </w:p>
    <w:p w14:paraId="79D96213">
      <w:pPr>
        <w:widowControl/>
        <w:shd w:val="clear" w:color="auto" w:fill="FFFFFF"/>
        <w:spacing w:line="560" w:lineRule="atLeast"/>
        <w:ind w:firstLine="480"/>
        <w:jc w:val="left"/>
        <w:rPr>
          <w:rFonts w:hint="eastAsia" w:ascii="仿宋_GB2312" w:eastAsia="仿宋_GB2312" w:cs="仿宋"/>
          <w:color w:val="000000"/>
          <w:sz w:val="28"/>
          <w:szCs w:val="28"/>
          <w:highlight w:val="none"/>
        </w:rPr>
      </w:pPr>
      <w:r>
        <w:rPr>
          <w:rFonts w:hint="eastAsia" w:ascii="仿宋_GB2312" w:eastAsia="仿宋_GB2312" w:cs="仿宋"/>
          <w:color w:val="000000"/>
          <w:sz w:val="28"/>
          <w:szCs w:val="28"/>
          <w:highlight w:val="none"/>
        </w:rPr>
        <w:t>20XX年X月X日至今，位于XX 省XX市XX县XX（企业地址）的XXXXXX有限责任公司，未发生生产安全责任事故，未受到安全生产监督管理部门的行政处罚。</w:t>
      </w:r>
    </w:p>
    <w:p w14:paraId="24BF969C">
      <w:pPr>
        <w:widowControl/>
        <w:shd w:val="clear" w:color="auto" w:fill="FFFFFF"/>
        <w:spacing w:line="560" w:lineRule="atLeast"/>
        <w:ind w:firstLine="480"/>
        <w:jc w:val="left"/>
        <w:rPr>
          <w:rFonts w:hint="eastAsia" w:ascii="仿宋_GB2312" w:eastAsia="仿宋_GB2312" w:cs="仿宋"/>
          <w:color w:val="000000"/>
          <w:sz w:val="28"/>
          <w:szCs w:val="28"/>
          <w:highlight w:val="none"/>
        </w:rPr>
      </w:pPr>
      <w:r>
        <w:rPr>
          <w:rFonts w:hint="eastAsia" w:ascii="仿宋_GB2312" w:eastAsia="仿宋_GB2312" w:cs="仿宋"/>
          <w:color w:val="000000"/>
          <w:sz w:val="28"/>
          <w:szCs w:val="28"/>
          <w:highlight w:val="none"/>
        </w:rPr>
        <w:t>特此告知</w:t>
      </w:r>
    </w:p>
    <w:p w14:paraId="477C10E1">
      <w:pPr>
        <w:widowControl/>
        <w:shd w:val="clear" w:color="auto" w:fill="FFFFFF"/>
        <w:spacing w:line="560" w:lineRule="atLeast"/>
        <w:ind w:firstLine="480"/>
        <w:jc w:val="left"/>
        <w:rPr>
          <w:rFonts w:hint="eastAsia" w:ascii="仿宋_GB2312" w:eastAsia="仿宋_GB2312" w:cs="仿宋"/>
          <w:color w:val="000000"/>
          <w:sz w:val="28"/>
          <w:szCs w:val="28"/>
          <w:highlight w:val="none"/>
        </w:rPr>
      </w:pPr>
    </w:p>
    <w:p w14:paraId="10B9BD8E">
      <w:pPr>
        <w:widowControl/>
        <w:shd w:val="clear" w:color="auto" w:fill="FFFFFF"/>
        <w:spacing w:line="560" w:lineRule="atLeast"/>
        <w:ind w:firstLine="480"/>
        <w:jc w:val="left"/>
        <w:rPr>
          <w:rFonts w:hint="eastAsia" w:ascii="仿宋_GB2312" w:eastAsia="仿宋_GB2312" w:cs="仿宋"/>
          <w:color w:val="000000"/>
          <w:sz w:val="28"/>
          <w:szCs w:val="28"/>
          <w:highlight w:val="none"/>
        </w:rPr>
      </w:pPr>
    </w:p>
    <w:p w14:paraId="36DB2C38">
      <w:pPr>
        <w:widowControl/>
        <w:shd w:val="clear" w:color="auto" w:fill="FFFFFF"/>
        <w:spacing w:line="560" w:lineRule="atLeast"/>
        <w:ind w:firstLine="480"/>
        <w:jc w:val="right"/>
        <w:rPr>
          <w:rFonts w:hint="eastAsia" w:ascii="仿宋_GB2312" w:eastAsia="仿宋_GB2312" w:cs="仿宋"/>
          <w:color w:val="000000"/>
          <w:sz w:val="28"/>
          <w:szCs w:val="28"/>
          <w:highlight w:val="none"/>
        </w:rPr>
      </w:pPr>
      <w:r>
        <w:rPr>
          <w:rFonts w:hint="eastAsia" w:ascii="仿宋_GB2312" w:eastAsia="仿宋_GB2312" w:cs="仿宋"/>
          <w:color w:val="000000"/>
          <w:sz w:val="28"/>
          <w:szCs w:val="28"/>
          <w:highlight w:val="none"/>
        </w:rPr>
        <w:t>XX县应急管理局（盖章）</w:t>
      </w:r>
    </w:p>
    <w:p w14:paraId="32342C69">
      <w:pPr>
        <w:widowControl/>
        <w:shd w:val="clear" w:color="auto" w:fill="FFFFFF"/>
        <w:spacing w:line="560" w:lineRule="atLeast"/>
        <w:ind w:firstLine="480"/>
        <w:jc w:val="right"/>
        <w:rPr>
          <w:rFonts w:hint="eastAsia" w:ascii="仿宋_GB2312" w:eastAsia="仿宋_GB2312" w:cs="仿宋"/>
          <w:color w:val="000000"/>
          <w:sz w:val="28"/>
          <w:szCs w:val="28"/>
          <w:highlight w:val="none"/>
        </w:rPr>
      </w:pPr>
      <w:r>
        <w:rPr>
          <w:rFonts w:hint="eastAsia" w:ascii="仿宋_GB2312" w:eastAsia="仿宋_GB2312" w:cs="仿宋"/>
          <w:color w:val="000000"/>
          <w:sz w:val="28"/>
          <w:szCs w:val="28"/>
          <w:highlight w:val="none"/>
        </w:rPr>
        <w:t>如应急管理局不出具此证明，可加盖本单位公章，自行证明</w:t>
      </w:r>
    </w:p>
    <w:p w14:paraId="0FA83602">
      <w:pPr>
        <w:widowControl/>
        <w:shd w:val="clear" w:color="auto" w:fill="FFFFFF"/>
        <w:spacing w:line="560" w:lineRule="atLeast"/>
        <w:ind w:firstLine="480"/>
        <w:jc w:val="right"/>
        <w:rPr>
          <w:rFonts w:hint="default" w:ascii="仿宋_GB2312" w:eastAsia="仿宋_GB2312" w:cs="仿宋"/>
          <w:color w:val="000000"/>
          <w:sz w:val="28"/>
          <w:szCs w:val="28"/>
          <w:highlight w:val="none"/>
          <w:lang w:val="en-US" w:eastAsia="zh-CN"/>
        </w:rPr>
        <w:sectPr>
          <w:pgSz w:w="11906" w:h="16838"/>
          <w:pgMar w:top="1440" w:right="1080" w:bottom="1440" w:left="1080" w:header="851" w:footer="992" w:gutter="0"/>
          <w:pgNumType w:fmt="decimal"/>
          <w:cols w:space="720" w:num="1"/>
          <w:docGrid w:type="lines" w:linePitch="312" w:charSpace="0"/>
        </w:sectPr>
      </w:pPr>
      <w:r>
        <w:rPr>
          <w:rFonts w:hint="eastAsia" w:ascii="仿宋_GB2312" w:eastAsia="仿宋_GB2312" w:cs="仿宋"/>
          <w:color w:val="000000"/>
          <w:sz w:val="28"/>
          <w:szCs w:val="28"/>
          <w:highlight w:val="none"/>
        </w:rPr>
        <w:t xml:space="preserve"> </w:t>
      </w:r>
      <w:r>
        <w:rPr>
          <w:rFonts w:hint="eastAsia" w:ascii="仿宋_GB2312" w:eastAsia="仿宋_GB2312" w:cs="仿宋"/>
          <w:color w:val="000000"/>
          <w:sz w:val="28"/>
          <w:szCs w:val="28"/>
          <w:highlight w:val="none"/>
          <w:lang w:val="en-US" w:eastAsia="zh-CN"/>
        </w:rPr>
        <w:t xml:space="preserve">                                                    </w:t>
      </w:r>
      <w:r>
        <w:rPr>
          <w:rFonts w:hint="eastAsia" w:ascii="仿宋_GB2312" w:eastAsia="仿宋_GB2312" w:cs="仿宋"/>
          <w:color w:val="000000"/>
          <w:sz w:val="28"/>
          <w:szCs w:val="28"/>
          <w:highlight w:val="none"/>
        </w:rPr>
        <w:t>年   月   日</w:t>
      </w:r>
    </w:p>
    <w:p w14:paraId="3516903A">
      <w:pPr>
        <w:rPr>
          <w:rFonts w:hint="eastAsia" w:ascii="黑体" w:hAnsi="黑体" w:eastAsia="黑体" w:cs="黑体"/>
          <w:kern w:val="0"/>
          <w:sz w:val="32"/>
          <w:szCs w:val="32"/>
          <w:highlight w:val="none"/>
          <w:lang w:val="en-US" w:eastAsia="zh-CN" w:bidi="ar-SA"/>
        </w:rPr>
      </w:pPr>
      <w:r>
        <w:rPr>
          <w:rFonts w:hint="eastAsia" w:ascii="黑体" w:hAnsi="黑体" w:eastAsia="黑体" w:cs="黑体"/>
          <w:kern w:val="0"/>
          <w:sz w:val="32"/>
          <w:szCs w:val="32"/>
          <w:highlight w:val="none"/>
          <w:lang w:val="en-US" w:eastAsia="zh-CN" w:bidi="ar-SA"/>
        </w:rPr>
        <w:t>附件7</w:t>
      </w:r>
    </w:p>
    <w:p w14:paraId="117F51C4">
      <w:pPr>
        <w:jc w:val="center"/>
        <w:rPr>
          <w:rFonts w:hint="eastAsia" w:ascii="黑体" w:hAnsi="黑体" w:eastAsia="黑体" w:cs="黑体"/>
          <w:kern w:val="0"/>
          <w:sz w:val="32"/>
          <w:szCs w:val="32"/>
          <w:highlight w:val="none"/>
          <w:lang w:val="en-US" w:eastAsia="zh-CN" w:bidi="ar-SA"/>
        </w:rPr>
      </w:pPr>
      <w:r>
        <w:rPr>
          <w:rFonts w:hint="eastAsia" w:ascii="黑体" w:hAnsi="黑体" w:eastAsia="黑体" w:cs="黑体"/>
          <w:kern w:val="0"/>
          <w:sz w:val="32"/>
          <w:szCs w:val="32"/>
          <w:highlight w:val="none"/>
          <w:lang w:val="en-US" w:eastAsia="zh-CN" w:bidi="ar-SA"/>
        </w:rPr>
        <w:t>业绩证明</w:t>
      </w:r>
    </w:p>
    <w:p w14:paraId="47740B4F">
      <w:pPr>
        <w:keepNext w:val="0"/>
        <w:keepLines w:val="0"/>
        <w:pageBreakBefore w:val="0"/>
        <w:widowControl/>
        <w:shd w:val="clear" w:color="auto" w:fill="FFFFFF"/>
        <w:kinsoku/>
        <w:wordWrap/>
        <w:overflowPunct/>
        <w:topLinePunct w:val="0"/>
        <w:autoSpaceDE/>
        <w:autoSpaceDN/>
        <w:bidi w:val="0"/>
        <w:adjustRightInd/>
        <w:snapToGrid/>
        <w:spacing w:line="500" w:lineRule="exact"/>
        <w:ind w:firstLine="576" w:firstLineChars="200"/>
        <w:jc w:val="both"/>
        <w:textAlignment w:val="auto"/>
        <w:rPr>
          <w:rFonts w:hint="eastAsia" w:ascii="仿宋_GB2312" w:eastAsia="仿宋_GB2312" w:cs="仿宋"/>
          <w:color w:val="000000"/>
          <w:sz w:val="28"/>
          <w:szCs w:val="28"/>
          <w:highlight w:val="none"/>
        </w:rPr>
      </w:pPr>
      <w:r>
        <w:rPr>
          <w:rFonts w:hint="eastAsia" w:ascii="仿宋_GB2312" w:hAnsi="仿宋" w:eastAsia="仿宋_GB2312" w:cs="宋体"/>
          <w:spacing w:val="4"/>
          <w:sz w:val="28"/>
          <w:szCs w:val="28"/>
          <w:highlight w:val="none"/>
          <w:lang w:val="en-US" w:eastAsia="zh-CN"/>
        </w:rPr>
        <w:t>供应商需提供自2023年1月1日起承接的类似业绩（不少于3个，以合同签订时间为准），相关业绩需提供中标（选）通知复印件或合同首页和金额页复印件等证明文件。</w:t>
      </w:r>
    </w:p>
    <w:tbl>
      <w:tblPr>
        <w:tblStyle w:val="13"/>
        <w:tblW w:w="91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71"/>
        <w:gridCol w:w="2460"/>
        <w:gridCol w:w="2100"/>
        <w:gridCol w:w="2433"/>
      </w:tblGrid>
      <w:tr w14:paraId="5F827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1"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7C2CEF60">
            <w:pPr>
              <w:jc w:val="center"/>
              <w:rPr>
                <w:rFonts w:hint="eastAsia" w:ascii="仿宋" w:hAnsi="仿宋" w:eastAsia="仿宋"/>
                <w:bCs/>
                <w:sz w:val="28"/>
                <w:szCs w:val="28"/>
                <w:highlight w:val="none"/>
                <w:lang w:val="en-US" w:eastAsia="zh-CN"/>
              </w:rPr>
            </w:pPr>
            <w:r>
              <w:rPr>
                <w:rFonts w:hint="eastAsia" w:ascii="仿宋" w:hAnsi="仿宋" w:eastAsia="仿宋"/>
                <w:bCs/>
                <w:sz w:val="28"/>
                <w:szCs w:val="28"/>
                <w:highlight w:val="none"/>
                <w:lang w:val="en-US" w:eastAsia="zh-CN"/>
              </w:rPr>
              <w:t>项目名称</w:t>
            </w:r>
          </w:p>
        </w:tc>
        <w:tc>
          <w:tcPr>
            <w:tcW w:w="2460" w:type="dxa"/>
            <w:tcBorders>
              <w:top w:val="single" w:color="auto" w:sz="4" w:space="0"/>
              <w:left w:val="single" w:color="auto" w:sz="4" w:space="0"/>
              <w:bottom w:val="single" w:color="auto" w:sz="4" w:space="0"/>
              <w:right w:val="single" w:color="auto" w:sz="4" w:space="0"/>
            </w:tcBorders>
          </w:tcPr>
          <w:p w14:paraId="3D5C837B">
            <w:pPr>
              <w:jc w:val="center"/>
              <w:rPr>
                <w:rFonts w:hint="default" w:ascii="仿宋" w:hAnsi="仿宋" w:eastAsia="仿宋"/>
                <w:bCs/>
                <w:sz w:val="28"/>
                <w:szCs w:val="28"/>
                <w:highlight w:val="none"/>
                <w:lang w:val="en-US" w:eastAsia="zh-CN"/>
              </w:rPr>
            </w:pPr>
            <w:r>
              <w:rPr>
                <w:rFonts w:hint="eastAsia" w:ascii="仿宋" w:hAnsi="仿宋" w:eastAsia="仿宋"/>
                <w:bCs/>
                <w:sz w:val="28"/>
                <w:szCs w:val="28"/>
                <w:highlight w:val="none"/>
                <w:lang w:val="en-US" w:eastAsia="zh-CN"/>
              </w:rPr>
              <w:t>发包人名称</w:t>
            </w:r>
          </w:p>
        </w:tc>
        <w:tc>
          <w:tcPr>
            <w:tcW w:w="2100" w:type="dxa"/>
            <w:tcBorders>
              <w:top w:val="single" w:color="auto" w:sz="4" w:space="0"/>
              <w:left w:val="single" w:color="auto" w:sz="4" w:space="0"/>
              <w:bottom w:val="single" w:color="auto" w:sz="4" w:space="0"/>
              <w:right w:val="single" w:color="auto" w:sz="4" w:space="0"/>
            </w:tcBorders>
            <w:vAlign w:val="center"/>
          </w:tcPr>
          <w:p w14:paraId="553EB23D">
            <w:pPr>
              <w:jc w:val="center"/>
              <w:rPr>
                <w:rFonts w:hint="eastAsia" w:ascii="仿宋" w:hAnsi="仿宋" w:eastAsia="仿宋"/>
                <w:bCs/>
                <w:sz w:val="28"/>
                <w:szCs w:val="28"/>
                <w:highlight w:val="none"/>
                <w:lang w:val="en-US" w:eastAsia="zh-CN"/>
              </w:rPr>
            </w:pPr>
            <w:r>
              <w:rPr>
                <w:rFonts w:hint="eastAsia" w:ascii="仿宋" w:hAnsi="仿宋" w:eastAsia="仿宋"/>
                <w:bCs/>
                <w:sz w:val="28"/>
                <w:szCs w:val="28"/>
                <w:highlight w:val="none"/>
                <w:lang w:val="en-US" w:eastAsia="zh-CN"/>
              </w:rPr>
              <w:t>完成年份</w:t>
            </w:r>
          </w:p>
        </w:tc>
        <w:tc>
          <w:tcPr>
            <w:tcW w:w="2433" w:type="dxa"/>
            <w:tcBorders>
              <w:top w:val="single" w:color="auto" w:sz="4" w:space="0"/>
              <w:left w:val="single" w:color="auto" w:sz="4" w:space="0"/>
              <w:bottom w:val="single" w:color="auto" w:sz="4" w:space="0"/>
              <w:right w:val="single" w:color="auto" w:sz="4" w:space="0"/>
            </w:tcBorders>
            <w:vAlign w:val="center"/>
          </w:tcPr>
          <w:p w14:paraId="74D4DC6C">
            <w:pPr>
              <w:jc w:val="center"/>
              <w:rPr>
                <w:rFonts w:hint="eastAsia" w:ascii="仿宋" w:hAnsi="仿宋" w:eastAsia="仿宋"/>
                <w:bCs/>
                <w:sz w:val="28"/>
                <w:szCs w:val="28"/>
                <w:highlight w:val="none"/>
                <w:lang w:val="en-US" w:eastAsia="zh-CN"/>
              </w:rPr>
            </w:pPr>
            <w:r>
              <w:rPr>
                <w:rFonts w:hint="eastAsia" w:ascii="仿宋" w:hAnsi="仿宋" w:eastAsia="仿宋"/>
                <w:bCs/>
                <w:sz w:val="28"/>
                <w:szCs w:val="28"/>
                <w:highlight w:val="none"/>
                <w:lang w:val="en-US" w:eastAsia="zh-CN"/>
              </w:rPr>
              <w:t>合同金额</w:t>
            </w:r>
          </w:p>
        </w:tc>
      </w:tr>
      <w:tr w14:paraId="289DE0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03D8BC4F">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7CCA7651">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3DC20FBA">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1EEBA42B">
            <w:pPr>
              <w:rPr>
                <w:rFonts w:ascii="仿宋" w:hAnsi="仿宋" w:eastAsia="仿宋"/>
                <w:bCs/>
                <w:sz w:val="28"/>
                <w:szCs w:val="28"/>
                <w:highlight w:val="none"/>
              </w:rPr>
            </w:pPr>
          </w:p>
        </w:tc>
      </w:tr>
      <w:tr w14:paraId="0E9CDC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1"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4FBCB8F4">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243A7F0B">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329B9A5A">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2C6B556A">
            <w:pPr>
              <w:rPr>
                <w:rFonts w:ascii="仿宋" w:hAnsi="仿宋" w:eastAsia="仿宋"/>
                <w:bCs/>
                <w:sz w:val="28"/>
                <w:szCs w:val="28"/>
                <w:highlight w:val="none"/>
              </w:rPr>
            </w:pPr>
          </w:p>
        </w:tc>
      </w:tr>
      <w:tr w14:paraId="04A76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1"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3DDF7841">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6A549D9C">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0F359041">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4AF4BCA3">
            <w:pPr>
              <w:rPr>
                <w:rFonts w:ascii="仿宋" w:hAnsi="仿宋" w:eastAsia="仿宋"/>
                <w:bCs/>
                <w:sz w:val="28"/>
                <w:szCs w:val="28"/>
                <w:highlight w:val="none"/>
              </w:rPr>
            </w:pPr>
          </w:p>
        </w:tc>
      </w:tr>
      <w:tr w14:paraId="0D589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5F541F4B">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2E693942">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25DD9B94">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190500C3">
            <w:pPr>
              <w:rPr>
                <w:rFonts w:ascii="仿宋" w:hAnsi="仿宋" w:eastAsia="仿宋"/>
                <w:bCs/>
                <w:sz w:val="28"/>
                <w:szCs w:val="28"/>
                <w:highlight w:val="none"/>
              </w:rPr>
            </w:pPr>
          </w:p>
        </w:tc>
      </w:tr>
      <w:tr w14:paraId="5449F2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6"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1E930247">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27D006E1">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764D2360">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6357A407">
            <w:pPr>
              <w:rPr>
                <w:rFonts w:ascii="仿宋" w:hAnsi="仿宋" w:eastAsia="仿宋"/>
                <w:bCs/>
                <w:sz w:val="28"/>
                <w:szCs w:val="28"/>
                <w:highlight w:val="none"/>
              </w:rPr>
            </w:pPr>
          </w:p>
        </w:tc>
      </w:tr>
      <w:tr w14:paraId="680668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6"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1CB5BA26">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11CA4773">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0AB9A2F8">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4328E1E7">
            <w:pPr>
              <w:rPr>
                <w:rFonts w:ascii="仿宋" w:hAnsi="仿宋" w:eastAsia="仿宋"/>
                <w:bCs/>
                <w:sz w:val="28"/>
                <w:szCs w:val="28"/>
                <w:highlight w:val="none"/>
              </w:rPr>
            </w:pPr>
          </w:p>
        </w:tc>
      </w:tr>
      <w:tr w14:paraId="4E4420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6BF8219F">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2EF7C929">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6ADB3076">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4C13F454">
            <w:pPr>
              <w:rPr>
                <w:rFonts w:ascii="仿宋" w:hAnsi="仿宋" w:eastAsia="仿宋"/>
                <w:bCs/>
                <w:sz w:val="28"/>
                <w:szCs w:val="28"/>
                <w:highlight w:val="none"/>
              </w:rPr>
            </w:pPr>
          </w:p>
        </w:tc>
      </w:tr>
      <w:tr w14:paraId="3B47F6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44B9D30C">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779ECC3E">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663D52CE">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693497B9">
            <w:pPr>
              <w:rPr>
                <w:rFonts w:ascii="仿宋" w:hAnsi="仿宋" w:eastAsia="仿宋"/>
                <w:bCs/>
                <w:sz w:val="28"/>
                <w:szCs w:val="28"/>
                <w:highlight w:val="none"/>
              </w:rPr>
            </w:pPr>
          </w:p>
        </w:tc>
      </w:tr>
      <w:tr w14:paraId="59CE37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2171" w:type="dxa"/>
            <w:tcBorders>
              <w:top w:val="single" w:color="auto" w:sz="4" w:space="0"/>
              <w:left w:val="single" w:color="auto" w:sz="4" w:space="0"/>
              <w:bottom w:val="single" w:color="auto" w:sz="4" w:space="0"/>
              <w:right w:val="single" w:color="auto" w:sz="4" w:space="0"/>
            </w:tcBorders>
            <w:vAlign w:val="center"/>
          </w:tcPr>
          <w:p w14:paraId="444B0C1A">
            <w:pPr>
              <w:rPr>
                <w:rFonts w:ascii="仿宋" w:hAnsi="仿宋" w:eastAsia="仿宋"/>
                <w:bCs/>
                <w:sz w:val="28"/>
                <w:szCs w:val="28"/>
                <w:highlight w:val="none"/>
              </w:rPr>
            </w:pPr>
          </w:p>
        </w:tc>
        <w:tc>
          <w:tcPr>
            <w:tcW w:w="2460" w:type="dxa"/>
            <w:tcBorders>
              <w:top w:val="single" w:color="auto" w:sz="4" w:space="0"/>
              <w:left w:val="single" w:color="auto" w:sz="4" w:space="0"/>
              <w:bottom w:val="single" w:color="auto" w:sz="4" w:space="0"/>
              <w:right w:val="single" w:color="auto" w:sz="4" w:space="0"/>
            </w:tcBorders>
          </w:tcPr>
          <w:p w14:paraId="60AD12C7">
            <w:pPr>
              <w:rPr>
                <w:rFonts w:ascii="仿宋" w:hAnsi="仿宋" w:eastAsia="仿宋"/>
                <w:bCs/>
                <w:sz w:val="28"/>
                <w:szCs w:val="28"/>
                <w:highlight w:val="none"/>
              </w:rPr>
            </w:pPr>
          </w:p>
        </w:tc>
        <w:tc>
          <w:tcPr>
            <w:tcW w:w="2100" w:type="dxa"/>
            <w:tcBorders>
              <w:top w:val="single" w:color="auto" w:sz="4" w:space="0"/>
              <w:left w:val="single" w:color="auto" w:sz="4" w:space="0"/>
              <w:bottom w:val="single" w:color="auto" w:sz="4" w:space="0"/>
              <w:right w:val="single" w:color="auto" w:sz="4" w:space="0"/>
            </w:tcBorders>
            <w:vAlign w:val="center"/>
          </w:tcPr>
          <w:p w14:paraId="7DF67F11">
            <w:pPr>
              <w:rPr>
                <w:rFonts w:ascii="仿宋" w:hAnsi="仿宋" w:eastAsia="仿宋"/>
                <w:bCs/>
                <w:sz w:val="28"/>
                <w:szCs w:val="28"/>
                <w:highlight w:val="none"/>
              </w:rPr>
            </w:pPr>
          </w:p>
        </w:tc>
        <w:tc>
          <w:tcPr>
            <w:tcW w:w="2433" w:type="dxa"/>
            <w:tcBorders>
              <w:top w:val="single" w:color="auto" w:sz="4" w:space="0"/>
              <w:left w:val="single" w:color="auto" w:sz="4" w:space="0"/>
              <w:bottom w:val="single" w:color="auto" w:sz="4" w:space="0"/>
              <w:right w:val="single" w:color="auto" w:sz="4" w:space="0"/>
            </w:tcBorders>
            <w:vAlign w:val="center"/>
          </w:tcPr>
          <w:p w14:paraId="47D8A169">
            <w:pPr>
              <w:rPr>
                <w:rFonts w:ascii="仿宋" w:hAnsi="仿宋" w:eastAsia="仿宋"/>
                <w:bCs/>
                <w:sz w:val="28"/>
                <w:szCs w:val="28"/>
                <w:highlight w:val="none"/>
              </w:rPr>
            </w:pPr>
          </w:p>
        </w:tc>
      </w:tr>
    </w:tbl>
    <w:p w14:paraId="69BBC3CD">
      <w:pPr>
        <w:rPr>
          <w:rFonts w:hint="default" w:ascii="仿宋" w:hAnsi="仿宋" w:eastAsia="仿宋"/>
          <w:bCs/>
          <w:sz w:val="28"/>
          <w:szCs w:val="28"/>
          <w:highlight w:val="none"/>
          <w:lang w:val="en-US" w:eastAsia="zh-CN"/>
        </w:rPr>
      </w:pPr>
    </w:p>
    <w:p w14:paraId="29841D52">
      <w:pPr>
        <w:widowControl/>
        <w:shd w:val="clear" w:color="auto" w:fill="FFFFFF"/>
        <w:spacing w:line="460" w:lineRule="atLeast"/>
        <w:ind w:left="181" w:firstLine="482"/>
        <w:jc w:val="right"/>
        <w:rPr>
          <w:rFonts w:hint="default" w:ascii="仿宋_GB2312" w:eastAsia="仿宋_GB2312" w:cs="仿宋"/>
          <w:color w:val="000000"/>
          <w:sz w:val="28"/>
          <w:szCs w:val="28"/>
          <w:highlight w:val="none"/>
          <w:lang w:val="en-US" w:eastAsia="zh-CN"/>
        </w:rPr>
      </w:pPr>
      <w:r>
        <w:rPr>
          <w:rFonts w:hint="default" w:ascii="仿宋_GB2312" w:eastAsia="仿宋_GB2312" w:cs="仿宋"/>
          <w:color w:val="000000"/>
          <w:sz w:val="28"/>
          <w:szCs w:val="28"/>
          <w:highlight w:val="none"/>
          <w:lang w:val="en-US" w:eastAsia="zh-CN"/>
        </w:rPr>
        <w:t>供应商（公章）：</w:t>
      </w:r>
    </w:p>
    <w:p w14:paraId="6835BFF8">
      <w:pPr>
        <w:widowControl/>
        <w:shd w:val="clear" w:color="auto" w:fill="FFFFFF"/>
        <w:spacing w:line="460" w:lineRule="atLeast"/>
        <w:ind w:left="181" w:firstLine="482"/>
        <w:jc w:val="right"/>
        <w:rPr>
          <w:rFonts w:hint="default" w:ascii="仿宋_GB2312" w:eastAsia="仿宋_GB2312" w:cs="仿宋"/>
          <w:color w:val="000000"/>
          <w:sz w:val="28"/>
          <w:szCs w:val="28"/>
          <w:highlight w:val="none"/>
          <w:lang w:val="en-US" w:eastAsia="zh-CN"/>
        </w:rPr>
      </w:pPr>
      <w:r>
        <w:rPr>
          <w:rFonts w:hint="default" w:ascii="仿宋_GB2312" w:eastAsia="仿宋_GB2312" w:cs="仿宋"/>
          <w:color w:val="000000"/>
          <w:sz w:val="28"/>
          <w:szCs w:val="28"/>
          <w:highlight w:val="none"/>
          <w:lang w:val="en-US" w:eastAsia="zh-CN"/>
        </w:rPr>
        <w:t>供应商授权代表</w:t>
      </w:r>
      <w:r>
        <w:rPr>
          <w:rFonts w:hint="eastAsia" w:ascii="仿宋_GB2312" w:eastAsia="仿宋_GB2312" w:cs="仿宋"/>
          <w:color w:val="000000"/>
          <w:sz w:val="28"/>
          <w:szCs w:val="28"/>
          <w:highlight w:val="none"/>
          <w:lang w:val="en-US" w:eastAsia="zh-CN"/>
        </w:rPr>
        <w:t>/法人代表签字</w:t>
      </w:r>
      <w:r>
        <w:rPr>
          <w:rFonts w:hint="default" w:ascii="仿宋_GB2312" w:eastAsia="仿宋_GB2312" w:cs="仿宋"/>
          <w:color w:val="000000"/>
          <w:sz w:val="28"/>
          <w:szCs w:val="28"/>
          <w:highlight w:val="none"/>
          <w:lang w:val="en-US" w:eastAsia="zh-CN"/>
        </w:rPr>
        <w:t>：</w:t>
      </w:r>
    </w:p>
    <w:p w14:paraId="295BC0A0">
      <w:pPr>
        <w:widowControl/>
        <w:shd w:val="clear" w:color="auto" w:fill="FFFFFF"/>
        <w:spacing w:line="460" w:lineRule="atLeast"/>
        <w:ind w:left="181" w:firstLine="482"/>
        <w:jc w:val="right"/>
        <w:rPr>
          <w:rFonts w:hint="default" w:ascii="仿宋_GB2312" w:eastAsia="仿宋_GB2312" w:cs="仿宋"/>
          <w:color w:val="000000"/>
          <w:sz w:val="28"/>
          <w:szCs w:val="28"/>
          <w:highlight w:val="none"/>
          <w:lang w:val="en-US" w:eastAsia="zh-CN"/>
        </w:rPr>
      </w:pPr>
      <w:r>
        <w:rPr>
          <w:rFonts w:hint="default" w:ascii="仿宋_GB2312" w:eastAsia="仿宋_GB2312" w:cs="仿宋"/>
          <w:color w:val="000000"/>
          <w:sz w:val="28"/>
          <w:szCs w:val="28"/>
          <w:highlight w:val="none"/>
          <w:lang w:val="en-US" w:eastAsia="zh-CN"/>
        </w:rPr>
        <w:t>日期</w:t>
      </w:r>
      <w:r>
        <w:rPr>
          <w:rFonts w:hint="eastAsia" w:ascii="仿宋_GB2312" w:eastAsia="仿宋_GB2312" w:cs="仿宋"/>
          <w:color w:val="000000"/>
          <w:sz w:val="28"/>
          <w:szCs w:val="28"/>
          <w:highlight w:val="none"/>
          <w:lang w:val="en-US" w:eastAsia="zh-CN"/>
        </w:rPr>
        <w:t>：</w:t>
      </w:r>
    </w:p>
    <w:bookmarkEnd w:id="9"/>
    <w:sectPr>
      <w:pgSz w:w="11906" w:h="16838"/>
      <w:pgMar w:top="1440" w:right="1080" w:bottom="1440" w:left="1080" w:header="851" w:footer="992" w:gutter="0"/>
      <w:pgNumType w:fmt="decimal"/>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090C81E-1048-4D53-93F9-9DD1AF229AD9}"/>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053F625F-7D1C-434C-8D5B-82B4591B9014}"/>
  </w:font>
  <w:font w:name="Calibri Light">
    <w:panose1 w:val="020F0302020204030204"/>
    <w:charset w:val="00"/>
    <w:family w:val="swiss"/>
    <w:pitch w:val="default"/>
    <w:sig w:usb0="E4002EFF" w:usb1="C000247B" w:usb2="00000009" w:usb3="00000000" w:csb0="200001FF" w:csb1="00000000"/>
  </w:font>
  <w:font w:name="方正小标宋简体">
    <w:panose1 w:val="02000000000000000000"/>
    <w:charset w:val="86"/>
    <w:family w:val="auto"/>
    <w:pitch w:val="default"/>
    <w:sig w:usb0="A00002BF" w:usb1="184F6CFA" w:usb2="00000012" w:usb3="00000000" w:csb0="00040001" w:csb1="00000000"/>
    <w:embedRegular r:id="rId3" w:fontKey="{DA6E9450-2225-486B-A4D3-A8F3EF75ED80}"/>
  </w:font>
  <w:font w:name="仿宋_GB2312">
    <w:panose1 w:val="02010609030101010101"/>
    <w:charset w:val="86"/>
    <w:family w:val="modern"/>
    <w:pitch w:val="default"/>
    <w:sig w:usb0="00000001" w:usb1="080E0000" w:usb2="00000000" w:usb3="00000000" w:csb0="00040000" w:csb1="00000000"/>
    <w:embedRegular r:id="rId4" w:fontKey="{1F1CEEEF-8E87-4874-A4EE-76A94015EF36}"/>
  </w:font>
  <w:font w:name="仿宋">
    <w:panose1 w:val="02010609060101010101"/>
    <w:charset w:val="86"/>
    <w:family w:val="modern"/>
    <w:pitch w:val="default"/>
    <w:sig w:usb0="800002BF" w:usb1="38CF7CFA" w:usb2="00000016" w:usb3="00000000" w:csb0="00040001" w:csb1="00000000"/>
    <w:embedRegular r:id="rId5" w:fontKey="{E812E797-854E-472C-9645-ECEAC5182E41}"/>
  </w:font>
  <w:font w:name="微软雅黑">
    <w:panose1 w:val="020B0503020204020204"/>
    <w:charset w:val="86"/>
    <w:family w:val="auto"/>
    <w:pitch w:val="default"/>
    <w:sig w:usb0="80000287" w:usb1="2ACF3C50" w:usb2="00000016" w:usb3="00000000" w:csb0="0004001F" w:csb1="00000000"/>
    <w:embedRegular r:id="rId6" w:fontKey="{3C1FF183-7B25-44A7-9AFD-995D8C52F41B}"/>
  </w:font>
  <w:font w:name="Times New Roman Regular">
    <w:altName w:val="Times New Roman"/>
    <w:panose1 w:val="02020503050405090304"/>
    <w:charset w:val="00"/>
    <w:family w:val="auto"/>
    <w:pitch w:val="default"/>
    <w:sig w:usb0="00000000" w:usb1="00000000" w:usb2="00000001" w:usb3="00000000" w:csb0="400001BF" w:csb1="DFF70000"/>
    <w:embedRegular r:id="rId7" w:fontKey="{0CA2302E-C5EB-40CD-9B6F-33F617D440E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7C7279">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AF71B93">
                          <w:pPr>
                            <w:pStyle w:val="7"/>
                          </w:pPr>
                          <w:r>
                            <w:fldChar w:fldCharType="begin"/>
                          </w:r>
                          <w:r>
                            <w:instrText xml:space="preserve"> PAGE  \* MERGEFORMAT </w:instrText>
                          </w:r>
                          <w:r>
                            <w:fldChar w:fldCharType="separate"/>
                          </w:r>
                          <w:r>
                            <w:t>1</w:t>
                          </w:r>
                          <w:r>
                            <w:fldChar w:fldCharType="end"/>
                          </w:r>
                          <w:r>
                            <w:t xml:space="preserve"> / </w:t>
                          </w:r>
                          <w:r>
                            <w:fldChar w:fldCharType="begin"/>
                          </w:r>
                          <w:r>
                            <w:instrText xml:space="preserve"> NUMPAGES  \* MERGEFORMAT </w:instrText>
                          </w:r>
                          <w:r>
                            <w:fldChar w:fldCharType="separate"/>
                          </w:r>
                          <w:r>
                            <w:t>25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14:paraId="6AF71B93">
                    <w:pPr>
                      <w:pStyle w:val="7"/>
                    </w:pPr>
                    <w:r>
                      <w:fldChar w:fldCharType="begin"/>
                    </w:r>
                    <w:r>
                      <w:instrText xml:space="preserve"> PAGE  \* MERGEFORMAT </w:instrText>
                    </w:r>
                    <w:r>
                      <w:fldChar w:fldCharType="separate"/>
                    </w:r>
                    <w:r>
                      <w:t>1</w:t>
                    </w:r>
                    <w:r>
                      <w:fldChar w:fldCharType="end"/>
                    </w:r>
                    <w:r>
                      <w:t xml:space="preserve"> / </w:t>
                    </w:r>
                    <w:r>
                      <w:fldChar w:fldCharType="begin"/>
                    </w:r>
                    <w:r>
                      <w:instrText xml:space="preserve"> NUMPAGES  \* MERGEFORMAT </w:instrText>
                    </w:r>
                    <w:r>
                      <w:fldChar w:fldCharType="separate"/>
                    </w:r>
                    <w:r>
                      <w:t>25</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26DF79">
    <w:pPr>
      <w:tabs>
        <w:tab w:val="center" w:pos="4422"/>
      </w:tabs>
      <w:rPr>
        <w:sz w:val="18"/>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17E032B">
                          <w:pPr>
                            <w:pStyle w:val="7"/>
                          </w:pPr>
                          <w:r>
                            <w:fldChar w:fldCharType="begin"/>
                          </w:r>
                          <w:r>
                            <w:instrText xml:space="preserve"> PAGE  \* MERGEFORMAT </w:instrText>
                          </w:r>
                          <w:r>
                            <w:fldChar w:fldCharType="separate"/>
                          </w:r>
                          <w:r>
                            <w:t>4</w:t>
                          </w:r>
                          <w:r>
                            <w:fldChar w:fldCharType="end"/>
                          </w:r>
                          <w:r>
                            <w:t xml:space="preserve"> / </w:t>
                          </w:r>
                          <w:r>
                            <w:fldChar w:fldCharType="begin"/>
                          </w:r>
                          <w:r>
                            <w:instrText xml:space="preserve"> NUMPAGES  \* MERGEFORMAT </w:instrText>
                          </w:r>
                          <w:r>
                            <w:fldChar w:fldCharType="separate"/>
                          </w:r>
                          <w:r>
                            <w:t>25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14:paraId="217E032B">
                    <w:pPr>
                      <w:pStyle w:val="7"/>
                    </w:pPr>
                    <w:r>
                      <w:fldChar w:fldCharType="begin"/>
                    </w:r>
                    <w:r>
                      <w:instrText xml:space="preserve"> PAGE  \* MERGEFORMAT </w:instrText>
                    </w:r>
                    <w:r>
                      <w:fldChar w:fldCharType="separate"/>
                    </w:r>
                    <w:r>
                      <w:t>4</w:t>
                    </w:r>
                    <w:r>
                      <w:fldChar w:fldCharType="end"/>
                    </w:r>
                    <w:r>
                      <w:t xml:space="preserve"> / </w:t>
                    </w:r>
                    <w:r>
                      <w:fldChar w:fldCharType="begin"/>
                    </w:r>
                    <w:r>
                      <w:instrText xml:space="preserve"> NUMPAGES  \* MERGEFORMAT </w:instrText>
                    </w:r>
                    <w:r>
                      <w:fldChar w:fldCharType="separate"/>
                    </w:r>
                    <w:r>
                      <w:t>25</w:t>
                    </w:r>
                    <w:r>
                      <w:fldChar w:fldCharType="end"/>
                    </w:r>
                  </w:p>
                </w:txbxContent>
              </v:textbox>
            </v:shape>
          </w:pict>
        </mc:Fallback>
      </mc:AlternateContent>
    </w:r>
    <w:r>
      <w:rPr>
        <w:rFonts w:hint="eastAsia"/>
        <w:sz w:val="18"/>
        <w:lang w:eastAsia="zh-CN"/>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0387E1">
    <w:pPr>
      <w:pStyle w:val="7"/>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3A500FC">
                          <w:pPr>
                            <w:pStyle w:val="7"/>
                          </w:pPr>
                          <w:r>
                            <w:fldChar w:fldCharType="begin"/>
                          </w:r>
                          <w:r>
                            <w:instrText xml:space="preserve"> PAGE  \* MERGEFORMAT </w:instrText>
                          </w:r>
                          <w:r>
                            <w:fldChar w:fldCharType="separate"/>
                          </w:r>
                          <w:r>
                            <w:t>20</w:t>
                          </w:r>
                          <w:r>
                            <w:fldChar w:fldCharType="end"/>
                          </w:r>
                          <w:r>
                            <w:t xml:space="preserve"> / </w:t>
                          </w:r>
                          <w:r>
                            <w:fldChar w:fldCharType="begin"/>
                          </w:r>
                          <w:r>
                            <w:instrText xml:space="preserve"> NUMPAGES  \* MERGEFORMAT </w:instrText>
                          </w:r>
                          <w:r>
                            <w:fldChar w:fldCharType="separate"/>
                          </w:r>
                          <w:r>
                            <w:t>25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03A500FC">
                    <w:pPr>
                      <w:pStyle w:val="7"/>
                    </w:pPr>
                    <w:r>
                      <w:fldChar w:fldCharType="begin"/>
                    </w:r>
                    <w:r>
                      <w:instrText xml:space="preserve"> PAGE  \* MERGEFORMAT </w:instrText>
                    </w:r>
                    <w:r>
                      <w:fldChar w:fldCharType="separate"/>
                    </w:r>
                    <w:r>
                      <w:t>20</w:t>
                    </w:r>
                    <w:r>
                      <w:fldChar w:fldCharType="end"/>
                    </w:r>
                    <w:r>
                      <w:t xml:space="preserve"> / </w:t>
                    </w:r>
                    <w:r>
                      <w:fldChar w:fldCharType="begin"/>
                    </w:r>
                    <w:r>
                      <w:instrText xml:space="preserve"> NUMPAGES  \* MERGEFORMAT </w:instrText>
                    </w:r>
                    <w:r>
                      <w:fldChar w:fldCharType="separate"/>
                    </w:r>
                    <w:r>
                      <w:t>25</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4D7A58">
    <w:pPr>
      <w:rPr>
        <w:sz w:val="18"/>
      </w:rPr>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1F61BF8">
                          <w:pPr>
                            <w:pStyle w:val="7"/>
                          </w:pPr>
                          <w:r>
                            <w:fldChar w:fldCharType="begin"/>
                          </w:r>
                          <w:r>
                            <w:instrText xml:space="preserve"> PAGE  \* MERGEFORMAT </w:instrText>
                          </w:r>
                          <w:r>
                            <w:fldChar w:fldCharType="separate"/>
                          </w:r>
                          <w:r>
                            <w:t>23</w:t>
                          </w:r>
                          <w:r>
                            <w:fldChar w:fldCharType="end"/>
                          </w:r>
                          <w:r>
                            <w:t xml:space="preserve"> / </w:t>
                          </w:r>
                          <w:r>
                            <w:fldChar w:fldCharType="begin"/>
                          </w:r>
                          <w:r>
                            <w:instrText xml:space="preserve"> NUMPAGES  \* MERGEFORMAT </w:instrText>
                          </w:r>
                          <w:r>
                            <w:fldChar w:fldCharType="separate"/>
                          </w:r>
                          <w:r>
                            <w:t>25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61F61BF8">
                    <w:pPr>
                      <w:pStyle w:val="7"/>
                    </w:pPr>
                    <w:r>
                      <w:fldChar w:fldCharType="begin"/>
                    </w:r>
                    <w:r>
                      <w:instrText xml:space="preserve"> PAGE  \* MERGEFORMAT </w:instrText>
                    </w:r>
                    <w:r>
                      <w:fldChar w:fldCharType="separate"/>
                    </w:r>
                    <w:r>
                      <w:t>23</w:t>
                    </w:r>
                    <w:r>
                      <w:fldChar w:fldCharType="end"/>
                    </w:r>
                    <w:r>
                      <w:t xml:space="preserve"> / </w:t>
                    </w:r>
                    <w:r>
                      <w:fldChar w:fldCharType="begin"/>
                    </w:r>
                    <w:r>
                      <w:instrText xml:space="preserve"> NUMPAGES  \* MERGEFORMAT </w:instrText>
                    </w:r>
                    <w:r>
                      <w:fldChar w:fldCharType="separate"/>
                    </w:r>
                    <w:r>
                      <w:t>25</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C38498">
    <w:pPr>
      <w:rPr>
        <w:sz w:val="18"/>
      </w:rP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a:spLocks noChangeArrowheads="1"/>
                    </wps:cNvSpPr>
                    <wps:spPr bwMode="auto">
                      <a:xfrm>
                        <a:off x="0" y="0"/>
                        <a:ext cx="1828800" cy="1828800"/>
                      </a:xfrm>
                      <a:prstGeom prst="rect">
                        <a:avLst/>
                      </a:prstGeom>
                      <a:noFill/>
                      <a:ln>
                        <a:noFill/>
                      </a:ln>
                    </wps:spPr>
                    <wps:txbx>
                      <w:txbxContent>
                        <w:p w14:paraId="32FC3619">
                          <w:pPr>
                            <w:pStyle w:val="7"/>
                          </w:pPr>
                          <w:r>
                            <w:fldChar w:fldCharType="begin"/>
                          </w:r>
                          <w:r>
                            <w:instrText xml:space="preserve"> PAGE  \* MERGEFORMAT </w:instrText>
                          </w:r>
                          <w:r>
                            <w:fldChar w:fldCharType="separate"/>
                          </w:r>
                          <w:r>
                            <w:t>22</w:t>
                          </w:r>
                          <w:r>
                            <w:fldChar w:fldCharType="end"/>
                          </w:r>
                          <w:r>
                            <w:t xml:space="preserve"> / </w:t>
                          </w:r>
                          <w:r>
                            <w:fldChar w:fldCharType="begin"/>
                          </w:r>
                          <w:r>
                            <w:instrText xml:space="preserve"> NUMPAGES  \* MERGEFORMAT </w:instrText>
                          </w:r>
                          <w:r>
                            <w:fldChar w:fldCharType="separate"/>
                          </w:r>
                          <w:r>
                            <w:t>24</w:t>
                          </w:r>
                          <w:r>
                            <w:fldChar w:fldCharType="end"/>
                          </w:r>
                        </w:p>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M6pebnPAAAABQEAAA8AAAAAAAAAAQAgAAAAIgAAAGRycy9kb3ducmV2&#10;LnhtbFBLAQIUABQAAAAIAIdO4kDSDfuKBQIAAAQEAAAOAAAAAAAAAAEAIAAAAB4BAABkcnMvZTJv&#10;RG9jLnhtbFBLBQYAAAAABgAGAFkBAACVBQAAAAA=&#10;">
              <v:fill on="f" focussize="0,0"/>
              <v:stroke on="f"/>
              <v:imagedata o:title=""/>
              <o:lock v:ext="edit" aspectratio="f"/>
              <v:textbox inset="0mm,0mm,0mm,0mm" style="mso-fit-shape-to-text:t;">
                <w:txbxContent>
                  <w:p w14:paraId="32FC3619">
                    <w:pPr>
                      <w:pStyle w:val="7"/>
                    </w:pPr>
                    <w:r>
                      <w:fldChar w:fldCharType="begin"/>
                    </w:r>
                    <w:r>
                      <w:instrText xml:space="preserve"> PAGE  \* MERGEFORMAT </w:instrText>
                    </w:r>
                    <w:r>
                      <w:fldChar w:fldCharType="separate"/>
                    </w:r>
                    <w:r>
                      <w:t>22</w:t>
                    </w:r>
                    <w:r>
                      <w:fldChar w:fldCharType="end"/>
                    </w:r>
                    <w:r>
                      <w:t xml:space="preserve"> / </w:t>
                    </w:r>
                    <w:r>
                      <w:fldChar w:fldCharType="begin"/>
                    </w:r>
                    <w:r>
                      <w:instrText xml:space="preserve"> NUMPAGES  \* MERGEFORMAT </w:instrText>
                    </w:r>
                    <w:r>
                      <w:fldChar w:fldCharType="separate"/>
                    </w:r>
                    <w:r>
                      <w:t>24</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8A74502">
    <w:pPr>
      <w:pStyle w:val="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FF103E">
    <w:pPr>
      <w:tabs>
        <w:tab w:val="center" w:pos="4153"/>
        <w:tab w:val="right" w:pos="8306"/>
      </w:tabs>
      <w:snapToGrid w:val="0"/>
      <w:jc w:val="center"/>
      <w:rPr>
        <w:sz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0B65F0B">
    <w:pPr>
      <w:tabs>
        <w:tab w:val="center" w:pos="4153"/>
        <w:tab w:val="right" w:pos="8306"/>
      </w:tabs>
      <w:snapToGrid w:val="0"/>
      <w:jc w:val="center"/>
      <w:rPr>
        <w:sz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3C46C19"/>
    <w:multiLevelType w:val="singleLevel"/>
    <w:tmpl w:val="B3C46C19"/>
    <w:lvl w:ilvl="0" w:tentative="0">
      <w:start w:val="1"/>
      <w:numFmt w:val="decimal"/>
      <w:lvlText w:val="%1."/>
      <w:lvlJc w:val="left"/>
      <w:pPr>
        <w:tabs>
          <w:tab w:val="left" w:pos="312"/>
        </w:tabs>
      </w:pPr>
    </w:lvl>
  </w:abstractNum>
  <w:abstractNum w:abstractNumId="1">
    <w:nsid w:val="6948D2AB"/>
    <w:multiLevelType w:val="singleLevel"/>
    <w:tmpl w:val="6948D2AB"/>
    <w:lvl w:ilvl="0" w:tentative="0">
      <w:start w:val="1"/>
      <w:numFmt w:val="decimal"/>
      <w:lvlText w:val="%1."/>
      <w:lvlJc w:val="left"/>
      <w:pPr>
        <w:ind w:left="425" w:hanging="425"/>
      </w:pPr>
      <w:rPr>
        <w:rFonts w:hint="default"/>
      </w:rPr>
    </w:lvl>
  </w:abstractNum>
  <w:abstractNum w:abstractNumId="2">
    <w:nsid w:val="71F921E0"/>
    <w:multiLevelType w:val="multilevel"/>
    <w:tmpl w:val="71F921E0"/>
    <w:lvl w:ilvl="0" w:tentative="0">
      <w:start w:val="1"/>
      <w:numFmt w:val="decimal"/>
      <w:lvlText w:val="%1"/>
      <w:lvlJc w:val="left"/>
      <w:pPr>
        <w:ind w:left="800" w:hanging="800"/>
      </w:pPr>
      <w:rPr>
        <w:rFonts w:hint="default"/>
      </w:rPr>
    </w:lvl>
    <w:lvl w:ilvl="1" w:tentative="0">
      <w:start w:val="1"/>
      <w:numFmt w:val="decimal"/>
      <w:lvlText w:val="%1.%2"/>
      <w:lvlJc w:val="left"/>
      <w:pPr>
        <w:ind w:left="1120" w:hanging="800"/>
      </w:pPr>
      <w:rPr>
        <w:rFonts w:hint="default"/>
      </w:rPr>
    </w:lvl>
    <w:lvl w:ilvl="2" w:tentative="0">
      <w:start w:val="1"/>
      <w:numFmt w:val="decimal"/>
      <w:lvlText w:val="%1.%2.%3"/>
      <w:lvlJc w:val="left"/>
      <w:pPr>
        <w:ind w:left="1720" w:hanging="1080"/>
      </w:pPr>
      <w:rPr>
        <w:rFonts w:hint="default"/>
      </w:rPr>
    </w:lvl>
    <w:lvl w:ilvl="3" w:tentative="0">
      <w:start w:val="1"/>
      <w:numFmt w:val="decimal"/>
      <w:lvlText w:val="%1.%2.%3.%4"/>
      <w:lvlJc w:val="left"/>
      <w:pPr>
        <w:ind w:left="2400" w:hanging="1440"/>
      </w:pPr>
      <w:rPr>
        <w:rFonts w:hint="default"/>
      </w:rPr>
    </w:lvl>
    <w:lvl w:ilvl="4" w:tentative="0">
      <w:start w:val="1"/>
      <w:numFmt w:val="decimal"/>
      <w:lvlText w:val="%1.%2.%3.%4.%5"/>
      <w:lvlJc w:val="left"/>
      <w:pPr>
        <w:ind w:left="2720" w:hanging="1440"/>
      </w:pPr>
      <w:rPr>
        <w:rFonts w:hint="default"/>
      </w:rPr>
    </w:lvl>
    <w:lvl w:ilvl="5" w:tentative="0">
      <w:start w:val="1"/>
      <w:numFmt w:val="decimal"/>
      <w:lvlText w:val="%1.%2.%3.%4.%5.%6"/>
      <w:lvlJc w:val="left"/>
      <w:pPr>
        <w:ind w:left="3400" w:hanging="1800"/>
      </w:pPr>
      <w:rPr>
        <w:rFonts w:hint="default"/>
      </w:rPr>
    </w:lvl>
    <w:lvl w:ilvl="6" w:tentative="0">
      <w:start w:val="1"/>
      <w:numFmt w:val="decimal"/>
      <w:lvlText w:val="%1.%2.%3.%4.%5.%6.%7"/>
      <w:lvlJc w:val="left"/>
      <w:pPr>
        <w:ind w:left="4080" w:hanging="2160"/>
      </w:pPr>
      <w:rPr>
        <w:rFonts w:hint="default"/>
      </w:rPr>
    </w:lvl>
    <w:lvl w:ilvl="7" w:tentative="0">
      <w:start w:val="1"/>
      <w:numFmt w:val="decimal"/>
      <w:lvlText w:val="%1.%2.%3.%4.%5.%6.%7.%8"/>
      <w:lvlJc w:val="left"/>
      <w:pPr>
        <w:ind w:left="4760" w:hanging="2520"/>
      </w:pPr>
      <w:rPr>
        <w:rFonts w:hint="default"/>
      </w:rPr>
    </w:lvl>
    <w:lvl w:ilvl="8" w:tentative="0">
      <w:start w:val="1"/>
      <w:numFmt w:val="decimal"/>
      <w:lvlText w:val="%1.%2.%3.%4.%5.%6.%7.%8.%9"/>
      <w:lvlJc w:val="left"/>
      <w:pPr>
        <w:ind w:left="5440" w:hanging="288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RjZWRhZDJiZGU1ZjBhMDlhM2YwOWRhMTczYWRmYzMifQ=="/>
  </w:docVars>
  <w:rsids>
    <w:rsidRoot w:val="00000000"/>
    <w:rsid w:val="00AB7A64"/>
    <w:rsid w:val="020411DA"/>
    <w:rsid w:val="022573A2"/>
    <w:rsid w:val="022655F4"/>
    <w:rsid w:val="03123DCA"/>
    <w:rsid w:val="03B10EED"/>
    <w:rsid w:val="03D63249"/>
    <w:rsid w:val="05A14F91"/>
    <w:rsid w:val="080170F8"/>
    <w:rsid w:val="081E0B1B"/>
    <w:rsid w:val="0C322DE7"/>
    <w:rsid w:val="0D4F2FA1"/>
    <w:rsid w:val="0D8A10F4"/>
    <w:rsid w:val="0DFA13A1"/>
    <w:rsid w:val="0F754677"/>
    <w:rsid w:val="11692E07"/>
    <w:rsid w:val="11EB4770"/>
    <w:rsid w:val="12F928B1"/>
    <w:rsid w:val="132C05F4"/>
    <w:rsid w:val="13EE6941"/>
    <w:rsid w:val="13F84916"/>
    <w:rsid w:val="141D612B"/>
    <w:rsid w:val="141F1EA3"/>
    <w:rsid w:val="1505553D"/>
    <w:rsid w:val="16DE4297"/>
    <w:rsid w:val="17026467"/>
    <w:rsid w:val="17B86896"/>
    <w:rsid w:val="17D66D1D"/>
    <w:rsid w:val="184464A9"/>
    <w:rsid w:val="187F5606"/>
    <w:rsid w:val="189B6BED"/>
    <w:rsid w:val="19241D0A"/>
    <w:rsid w:val="19D90D46"/>
    <w:rsid w:val="1A8C5451"/>
    <w:rsid w:val="1A8D10BC"/>
    <w:rsid w:val="1B2F3692"/>
    <w:rsid w:val="1BD26F3B"/>
    <w:rsid w:val="1E7C7613"/>
    <w:rsid w:val="1EAC6A29"/>
    <w:rsid w:val="1EC04283"/>
    <w:rsid w:val="1FF93EF0"/>
    <w:rsid w:val="20D65FDF"/>
    <w:rsid w:val="20EF0645"/>
    <w:rsid w:val="22461847"/>
    <w:rsid w:val="22AE0FC2"/>
    <w:rsid w:val="2383647E"/>
    <w:rsid w:val="23ED3D6C"/>
    <w:rsid w:val="243E45C7"/>
    <w:rsid w:val="26AB66CE"/>
    <w:rsid w:val="27BF1399"/>
    <w:rsid w:val="27EE1E60"/>
    <w:rsid w:val="28612632"/>
    <w:rsid w:val="28647FD1"/>
    <w:rsid w:val="28D5110C"/>
    <w:rsid w:val="29194CBB"/>
    <w:rsid w:val="29860D70"/>
    <w:rsid w:val="29B65A87"/>
    <w:rsid w:val="29D137E8"/>
    <w:rsid w:val="2B6B08B1"/>
    <w:rsid w:val="2DEA131C"/>
    <w:rsid w:val="2E3A5DFF"/>
    <w:rsid w:val="2FE9188B"/>
    <w:rsid w:val="317909ED"/>
    <w:rsid w:val="31CD6F8B"/>
    <w:rsid w:val="321B5F48"/>
    <w:rsid w:val="33022C64"/>
    <w:rsid w:val="331F7372"/>
    <w:rsid w:val="333F3C3D"/>
    <w:rsid w:val="34E00E34"/>
    <w:rsid w:val="355C665B"/>
    <w:rsid w:val="35A93EF4"/>
    <w:rsid w:val="366003CD"/>
    <w:rsid w:val="367D2D2D"/>
    <w:rsid w:val="36D13079"/>
    <w:rsid w:val="371848E2"/>
    <w:rsid w:val="37D7646D"/>
    <w:rsid w:val="37DC32E4"/>
    <w:rsid w:val="386F2D08"/>
    <w:rsid w:val="38B61821"/>
    <w:rsid w:val="39BC671F"/>
    <w:rsid w:val="3A24047F"/>
    <w:rsid w:val="3BC27434"/>
    <w:rsid w:val="3BC77479"/>
    <w:rsid w:val="3BD373EE"/>
    <w:rsid w:val="3C526A0A"/>
    <w:rsid w:val="3C9708C1"/>
    <w:rsid w:val="3DB5463E"/>
    <w:rsid w:val="3DC54198"/>
    <w:rsid w:val="3DE03BA2"/>
    <w:rsid w:val="3E251B54"/>
    <w:rsid w:val="3E3B6598"/>
    <w:rsid w:val="3E51048B"/>
    <w:rsid w:val="3E7B35FE"/>
    <w:rsid w:val="3EF90995"/>
    <w:rsid w:val="407D392A"/>
    <w:rsid w:val="413B181B"/>
    <w:rsid w:val="42E91A6B"/>
    <w:rsid w:val="43E600BB"/>
    <w:rsid w:val="449E21BF"/>
    <w:rsid w:val="456E2AE2"/>
    <w:rsid w:val="4574354D"/>
    <w:rsid w:val="45C80EBC"/>
    <w:rsid w:val="491A5296"/>
    <w:rsid w:val="4AAF1095"/>
    <w:rsid w:val="4AAF6A94"/>
    <w:rsid w:val="4ACB00B3"/>
    <w:rsid w:val="4BD07E23"/>
    <w:rsid w:val="4C057C3E"/>
    <w:rsid w:val="4E5D2A1D"/>
    <w:rsid w:val="4EE74D90"/>
    <w:rsid w:val="50067E95"/>
    <w:rsid w:val="508036EE"/>
    <w:rsid w:val="50E84DEF"/>
    <w:rsid w:val="51E732F9"/>
    <w:rsid w:val="52CA50F4"/>
    <w:rsid w:val="54FF095A"/>
    <w:rsid w:val="569C0B56"/>
    <w:rsid w:val="56A6460F"/>
    <w:rsid w:val="572B3C88"/>
    <w:rsid w:val="57DD1426"/>
    <w:rsid w:val="582B2191"/>
    <w:rsid w:val="59215342"/>
    <w:rsid w:val="592B7670"/>
    <w:rsid w:val="59484FC5"/>
    <w:rsid w:val="594C6863"/>
    <w:rsid w:val="597D644B"/>
    <w:rsid w:val="5A21156A"/>
    <w:rsid w:val="5A5B2AD6"/>
    <w:rsid w:val="5A9A35FE"/>
    <w:rsid w:val="5B8816A9"/>
    <w:rsid w:val="5BDE751B"/>
    <w:rsid w:val="5BFF3967"/>
    <w:rsid w:val="5CCA72CA"/>
    <w:rsid w:val="5E1B4A56"/>
    <w:rsid w:val="5E3873B6"/>
    <w:rsid w:val="5EDA221B"/>
    <w:rsid w:val="5EFE51F2"/>
    <w:rsid w:val="612754C0"/>
    <w:rsid w:val="613227E3"/>
    <w:rsid w:val="6182748F"/>
    <w:rsid w:val="6240228C"/>
    <w:rsid w:val="62E278F0"/>
    <w:rsid w:val="63822E81"/>
    <w:rsid w:val="64032214"/>
    <w:rsid w:val="64227230"/>
    <w:rsid w:val="64DA52EA"/>
    <w:rsid w:val="681D13CB"/>
    <w:rsid w:val="68390815"/>
    <w:rsid w:val="69180775"/>
    <w:rsid w:val="698060B5"/>
    <w:rsid w:val="6B1B4485"/>
    <w:rsid w:val="6BC77FCB"/>
    <w:rsid w:val="6D800432"/>
    <w:rsid w:val="6DB517AC"/>
    <w:rsid w:val="6E6E0BD2"/>
    <w:rsid w:val="6F655B31"/>
    <w:rsid w:val="6F723CDF"/>
    <w:rsid w:val="6FB66D08"/>
    <w:rsid w:val="704A3740"/>
    <w:rsid w:val="72F355B7"/>
    <w:rsid w:val="73137F9A"/>
    <w:rsid w:val="73697BBA"/>
    <w:rsid w:val="7423420D"/>
    <w:rsid w:val="742B3289"/>
    <w:rsid w:val="742B4113"/>
    <w:rsid w:val="747C1371"/>
    <w:rsid w:val="750B5505"/>
    <w:rsid w:val="77382810"/>
    <w:rsid w:val="785F3887"/>
    <w:rsid w:val="789D27E0"/>
    <w:rsid w:val="799B2411"/>
    <w:rsid w:val="79B77CBC"/>
    <w:rsid w:val="7A020420"/>
    <w:rsid w:val="7B503B39"/>
    <w:rsid w:val="7B9225BF"/>
    <w:rsid w:val="7CDB38D7"/>
    <w:rsid w:val="7CE42AE2"/>
    <w:rsid w:val="7DFF479F"/>
    <w:rsid w:val="7E146CBC"/>
    <w:rsid w:val="7E4B4A8C"/>
    <w:rsid w:val="7E6E25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qFormat="1" w:uiPriority="99" w:name="Body Text Indent 3"/>
    <w:lsdException w:qFormat="1" w:uiPriority="99"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qFormat/>
    <w:uiPriority w:val="9"/>
    <w:pPr>
      <w:widowControl/>
      <w:spacing w:before="100" w:beforeAutospacing="1" w:after="100" w:afterAutospacing="1"/>
      <w:jc w:val="left"/>
      <w:outlineLvl w:val="0"/>
    </w:pPr>
    <w:rPr>
      <w:rFonts w:ascii="宋体" w:hAnsi="宋体"/>
      <w:b/>
      <w:bCs/>
      <w:kern w:val="36"/>
      <w:sz w:val="48"/>
      <w:szCs w:val="48"/>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3">
    <w:name w:val="annotation text"/>
    <w:basedOn w:val="1"/>
    <w:unhideWhenUsed/>
    <w:qFormat/>
    <w:uiPriority w:val="99"/>
    <w:pPr>
      <w:jc w:val="left"/>
    </w:pPr>
    <w:rPr>
      <w:rFonts w:cs="Times New Roman"/>
    </w:rPr>
  </w:style>
  <w:style w:type="paragraph" w:styleId="4">
    <w:name w:val="Body Text"/>
    <w:basedOn w:val="1"/>
    <w:qFormat/>
    <w:uiPriority w:val="0"/>
    <w:pPr>
      <w:spacing w:after="120"/>
    </w:pPr>
  </w:style>
  <w:style w:type="paragraph" w:styleId="5">
    <w:name w:val="Body Text Indent"/>
    <w:basedOn w:val="1"/>
    <w:semiHidden/>
    <w:unhideWhenUsed/>
    <w:qFormat/>
    <w:uiPriority w:val="99"/>
    <w:pPr>
      <w:spacing w:after="120"/>
      <w:ind w:left="420" w:leftChars="200"/>
    </w:pPr>
  </w:style>
  <w:style w:type="paragraph" w:styleId="6">
    <w:name w:val="Block Text"/>
    <w:basedOn w:val="1"/>
    <w:semiHidden/>
    <w:unhideWhenUsed/>
    <w:qFormat/>
    <w:uiPriority w:val="99"/>
    <w:pPr>
      <w:spacing w:after="120"/>
      <w:ind w:left="1440" w:leftChars="700" w:right="1440" w:rightChars="700"/>
    </w:p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Body Text Indent 3"/>
    <w:basedOn w:val="1"/>
    <w:semiHidden/>
    <w:unhideWhenUsed/>
    <w:qFormat/>
    <w:uiPriority w:val="99"/>
    <w:pPr>
      <w:spacing w:after="120"/>
      <w:ind w:left="420" w:leftChars="200"/>
    </w:pPr>
    <w:rPr>
      <w:sz w:val="16"/>
      <w:szCs w:val="16"/>
    </w:rPr>
  </w:style>
  <w:style w:type="paragraph" w:styleId="10">
    <w:name w:val="Normal (Web)"/>
    <w:basedOn w:val="1"/>
    <w:qFormat/>
    <w:uiPriority w:val="0"/>
    <w:pPr>
      <w:spacing w:before="0" w:beforeAutospacing="1" w:after="0" w:afterAutospacing="1"/>
      <w:ind w:left="0" w:right="0"/>
      <w:jc w:val="left"/>
    </w:pPr>
    <w:rPr>
      <w:kern w:val="0"/>
      <w:sz w:val="24"/>
      <w:lang w:val="en-US" w:eastAsia="zh-CN" w:bidi="ar"/>
    </w:rPr>
  </w:style>
  <w:style w:type="paragraph" w:styleId="11">
    <w:name w:val="Title"/>
    <w:basedOn w:val="1"/>
    <w:next w:val="1"/>
    <w:qFormat/>
    <w:uiPriority w:val="10"/>
    <w:pPr>
      <w:widowControl/>
      <w:spacing w:before="240" w:after="60"/>
      <w:jc w:val="center"/>
      <w:outlineLvl w:val="0"/>
    </w:pPr>
    <w:rPr>
      <w:rFonts w:eastAsia="方正小标宋简体" w:asciiTheme="majorHAnsi" w:hAnsiTheme="majorHAnsi" w:cstheme="majorBidi"/>
      <w:b/>
      <w:bCs/>
      <w:sz w:val="32"/>
      <w:szCs w:val="32"/>
    </w:rPr>
  </w:style>
  <w:style w:type="paragraph" w:styleId="12">
    <w:name w:val="Body Text First Indent"/>
    <w:basedOn w:val="4"/>
    <w:unhideWhenUsed/>
    <w:qFormat/>
    <w:uiPriority w:val="99"/>
    <w:pPr>
      <w:ind w:firstLine="420" w:firstLineChars="100"/>
    </w:pPr>
    <w:rPr>
      <w:rFonts w:ascii="Calibri" w:hAnsi="Calibri"/>
      <w:szCs w:val="22"/>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qFormat/>
    <w:uiPriority w:val="0"/>
    <w:rPr>
      <w:rFonts w:cs="Times New Roman"/>
    </w:rPr>
  </w:style>
  <w:style w:type="paragraph" w:customStyle="1" w:styleId="17">
    <w:name w:val="_正文"/>
    <w:qFormat/>
    <w:uiPriority w:val="0"/>
    <w:rPr>
      <w:rFonts w:ascii="Times New Roman" w:hAnsi="Times New Roman" w:eastAsia="宋体" w:cs="Times New Roman"/>
      <w:szCs w:val="24"/>
      <w:lang w:val="en-US" w:eastAsia="zh-CN" w:bidi="ar-SA"/>
    </w:rPr>
  </w:style>
  <w:style w:type="paragraph" w:customStyle="1" w:styleId="18">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4.jpeg"/><Relationship Id="rId14" Type="http://schemas.openxmlformats.org/officeDocument/2006/relationships/image" Target="media/image3.jpeg"/><Relationship Id="rId13" Type="http://schemas.openxmlformats.org/officeDocument/2006/relationships/image" Target="media/image2.jpeg"/><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2.xml><?xml version="1.0" encoding="utf-8"?>
<contractReview xmlns="http://schemas.wps.cn/vas-ai-hub/contract-review">
  <reviewItems>
    <reviewItem>
      <errorID>259ba7d0-0f4b-4a13-8248-214359499817</errorID>
      <errorWord>的</errorWord>
      <group>L1_Grammar</group>
      <groupName>语法问题</groupName>
      <ability>L2_Order</ability>
      <abilityName>语序不当</abilityName>
      <candidateList>
        <item>响应文件的</item>
      </candidateList>
      <explain>句子可能没有遵循时空、逻辑顺序，或者介词、关联词等位置不当。</explain>
      <paraID>24F2284B</paraID>
      <start>56</start>
      <end>61</end>
      <status>modified</status>
      <modifiedWord>响应文件的</modifiedWord>
      <trackRevisions>false</trackRevisions>
    </reviewItem>
    <reviewItem>
      <errorID>c56a64a4-2c19-411e-9324-0d8b47303db2</errorID>
      <errorWord>启</errorWord>
      <group>L1_Word</group>
      <groupName>字词问题</groupName>
      <ability>L2_Typo</ability>
      <abilityName>字词错误</abilityName>
      <candidateList>
        <item>起</item>
      </candidateList>
      <explain>〈动〉趋向动词。❶用在动词后，表示向上：抬～箱子往外走。❷用在动词后，表示力量够得上或够不上：经得～考验｜太贵了，买不～。注意动词和“起”之间常有“得”字或“不”字。❸用在动词后，表示事物随动作出现：乐队奏～迎宾曲｜会场响～热烈掌声。❹用在动词后，表示动作涉及人或事：他多次问～过你｜想～一件事。</explain>
      <paraID>4CEEEF6A</paraID>
      <start>20</start>
      <end>21</end>
      <status>modified</status>
      <modifiedWord>起</modifiedWord>
      <trackRevisions>false</trackRevisions>
    </reviewItem>
    <reviewItem>
      <errorID>aa71bbb0-72f3-423b-b499-0f6ce198bc8f</errorID>
      <errorWord>两</errorWord>
      <group>L1_Word</group>
      <groupName>字词问题</groupName>
      <ability>L2_Typo</ability>
      <abilityName>字词错误</abilityName>
      <candidateList>
        <item>两个</item>
      </candidateList>
      <explain/>
      <paraID>1B174E37</paraID>
      <start>1</start>
      <end>3</end>
      <status>modified</status>
      <modifiedWord>两个</modifiedWord>
      <trackRevisions>false</trackRevisions>
    </reviewItem>
    <reviewItem>
      <errorID>0a4c592b-12e9-426d-aef0-f9df362490c6</errorID>
      <errorWord>)</errorWord>
      <group>L1_Format</group>
      <groupName>格式问题</groupName>
      <ability>L2_HalfPunc</ability>
      <abilityName>全半角检查</abilityName>
      <candidateList>
        <item>）</item>
      </candidateList>
      <explain>文本全半角错误。</explain>
      <paraID>22615A61</paraID>
      <start>70</start>
      <end>71</end>
      <status>modified</status>
      <modifiedWord>）</modifiedWord>
      <trackRevisions>false</trackRevisions>
    </reviewItem>
    <reviewItem>
      <errorID>4f025eea-8fdd-4d62-a25c-ff6508c7311a</errorID>
      <errorWord>,</errorWord>
      <group>L1_Format</group>
      <groupName>格式问题</groupName>
      <ability>L2_HalfPunc</ability>
      <abilityName>全半角检查</abilityName>
      <candidateList>
        <item>，</item>
      </candidateList>
      <explain>文本全半角错误。</explain>
      <paraID>22615A61</paraID>
      <start>71</start>
      <end>72</end>
      <status>modified</status>
      <modifiedWord>，</modifiedWord>
      <trackRevisions>false</trackRevisions>
    </reviewItem>
    <reviewItem>
      <errorID>e9b35354-818e-4ebb-81aa-159a3d0615d2</errorID>
      <errorWord>PH值</errorWord>
      <group>L1_Word</group>
      <groupName>字词问题</groupName>
      <ability>L2_Typo</ability>
      <abilityName>字词错误</abilityName>
      <candidateList>
        <item>pH值</item>
      </candidateList>
      <explain/>
      <paraID>762C2373</paraID>
      <start>0</start>
      <end>3</end>
      <status>modified</status>
      <modifiedWord>pH值</modifiedWord>
      <trackRevisions>false</trackRevisions>
    </reviewItem>
    <reviewItem>
      <errorID>c69345b9-b151-425e-881a-e7ad20441315</errorID>
      <errorWord>)</errorWord>
      <group>L1_Format</group>
      <groupName>格式问题</groupName>
      <ability>L2_HalfPunc</ability>
      <abilityName>全半角检查</abilityName>
      <candidateList>
        <item>）</item>
      </candidateList>
      <explain>文本全半角错误。</explain>
      <paraID> BB6EB4C</paraID>
      <start>12</start>
      <end>13</end>
      <status>modified</status>
      <modifiedWord>）</modifiedWord>
      <trackRevisions>false</trackRevisions>
    </reviewItem>
    <reviewItem>
      <errorID>23b24a6c-c632-47a1-994a-caebf32f0ee5</errorID>
      <errorWord>)</errorWord>
      <group>L1_Format</group>
      <groupName>格式问题</groupName>
      <ability>L2_HalfPunc</ability>
      <abilityName>全半角检查</abilityName>
      <candidateList>
        <item>）</item>
      </candidateList>
      <explain>文本全半角错误。</explain>
      <paraID>22B745FD</paraID>
      <start>11</start>
      <end>12</end>
      <status>modified</status>
      <modifiedWord>）</modifiedWord>
      <trackRevisions>false</trackRevisions>
    </reviewItem>
    <reviewItem>
      <errorID>74882632-bc0e-4765-8009-07a9e0e1c04c</errorID>
      <errorWord>已下</errorWord>
      <group>L1_Word</group>
      <groupName>字词问题</groupName>
      <ability>L2_Typo</ability>
      <abilityName>字词错误</abilityName>
      <candidateList>
        <item>以下</item>
      </candidateList>
      <explain/>
      <paraID>71B14A8E</paraID>
      <start>18</start>
      <end>20</end>
      <status>modified</status>
      <modifiedWord>以下</modifiedWord>
      <trackRevisions>false</trackRevisions>
    </reviewItem>
    <reviewItem>
      <errorID>6837e3c8-c27a-49d4-ab7a-c664c3d47b17</errorID>
      <errorWord>合格</errorWord>
      <group>L1_Word</group>
      <groupName>字词问题</groupName>
      <ability>L2_Typo</ability>
      <abilityName>字词错误</abilityName>
      <candidateList>
        <item>合规</item>
      </candidateList>
      <explain/>
      <paraID>244EC0D8</paraID>
      <start>164</start>
      <end>166</end>
      <status>modified</status>
      <modifiedWord>合规</modifiedWord>
      <trackRevisions>false</trackRevisions>
    </reviewItem>
    <reviewItem>
      <errorID>e5032daa-e01e-40ce-bb98-5933a01bbe2e</errorID>
      <errorWord>帐</errorWord>
      <group>L1_Word</group>
      <groupName>字词问题</groupName>
      <ability>L2_Typo</ability>
      <abilityName>字词错误</abilityName>
      <candidateList>
        <item>账</item>
      </candidateList>
      <explain>（賬）zhànɡ〈名〉❶关于货币、货物出入的记载：记～｜查～。❷指账簿：一本～。❸债：欠～｜还～｜放～。</explain>
      <paraID>6E8CBF9F</paraID>
      <start>0</start>
      <end>1</end>
      <status>modified</status>
      <modifiedWord>账</modifiedWord>
      <trackRevisions>false</trackRevisions>
    </reviewItem>
    <reviewItem>
      <errorID>002bf50d-be55-496a-bc22-02e9a57f49cc</errorID>
      <errorWord>1、</errorWord>
      <group>L1_Format</group>
      <groupName>格式问题</groupName>
      <ability>L2_Ordinal</ability>
      <abilityName>序号格式</abilityName>
      <candidateList>
        <item>1.</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56670EDB</paraID>
      <start>0</start>
      <end>2</end>
      <status>modified</status>
      <modifiedWord>1.</modifiedWord>
      <trackRevisions>false</trackRevisions>
    </reviewItem>
    <reviewItem>
      <errorID>5fd71050-6ddb-4035-ac70-82926790092a</errorID>
      <errorWord>水质检测</errorWord>
      <group>L1_Word</group>
      <groupName>字词问题</groupName>
      <ability>L2_Typo</ability>
      <abilityName>字词错误</abilityName>
      <candidateList>
        <item>水质监测</item>
      </candidateList>
      <explain/>
      <paraID>5E35464B</paraID>
      <start>20</start>
      <end>24</end>
      <status>modified</status>
      <modifiedWord>水质监测</modifiedWord>
      <trackRevisions>false</trackRevisions>
    </reviewItem>
    <reviewItem>
      <errorID>0fa0030f-8085-4aee-bf50-f42aa78ccada</errorID>
      <errorWord>震动</errorWord>
      <group>L1_Word</group>
      <groupName>字词问题</groupName>
      <ability>L2_Typo</ability>
      <abilityName>字词错误</abilityName>
      <candidateList>
        <item>振动</item>
      </candidateList>
      <explain>〈动〉物体通过一个中心位置，不断作往复运动。摆的运动就是振动。也叫振荡。</explain>
      <paraID>649C9092</paraID>
      <start>57</start>
      <end>59</end>
      <status>modified</status>
      <modifiedWord>振动</modifiedWord>
      <trackRevisions>false</trackRevisions>
    </reviewItem>
    <reviewItem>
      <errorID>5fef6d25-ddfc-4c74-a683-aad0e94d2f93</errorID>
      <errorWord>《中纺大厦B2层污水处理设备维护维修保养合同安全管理协议》（以下简称安全管理协议）</errorWord>
      <group>L1_Knowledge</group>
      <groupName>知识性问题</groupName>
      <ability>L2_Knowledge</ability>
      <abilityName>其他知识</abilityName>
      <candidateList>
        <item>《中纺大厦B2层污水处理设备维护维修保养合同安全管理协议》（以下简称“安全管理协议”）</item>
      </candidateList>
      <explain>疑似政策文件、法律法规名称等书写不规范，请注意检查。</explain>
      <paraID>16B1B4B9</paraID>
      <start>16</start>
      <end>59</end>
      <status>modified</status>
      <modifiedWord>《中纺大厦B2层污水处理设备维护维修保养合同安全管理协议》（以下简称“安全管理协议”）</modifiedWord>
      <trackRevisions>false</trackRevisions>
    </reviewItem>
    <reviewItem>
      <errorID>9a95f0e4-a831-4dc9-8371-cc7556ad1d30</errorID>
      <errorWord>由于</errorWord>
      <group>L1_Word</group>
      <groupName>字词问题</groupName>
      <ability>L2_Typo</ability>
      <abilityName>字词错误</abilityName>
      <candidateList>
        <item>由</item>
      </candidateList>
      <explain>❶缘由：因～｜事～｜理～。❷〈介〉由于▲：咎～自取｜～感冒引起了肺炎。❸经过：必～之路。❹〈介〉表示经由：～南门入场。❺〈动〉顺随；听从：事不～己｜～着性子。❻〈介〉归（某人去做）：准备工作～我负责｜队长～你担任。❼〈介〉表示凭借：～此可知｜人体是～各种细胞组成的。❽〈介〉表示起点：～表及里｜～北京出发。❾（Yóu）〈名〉姓。</explain>
      <paraID>16B1B4B9</paraID>
      <start>110</start>
      <end>111</end>
      <status>modified</status>
      <modifiedWord>由</modifiedWord>
      <trackRevisions>false</trackRevisions>
    </reviewItem>
    <reviewItem>
      <errorID>3f2d9140-572c-4c14-b9a2-d372c918cf27</errorID>
      <errorWord>其它</errorWord>
      <group>L1_Word</group>
      <groupName>字词问题</groupName>
      <ability>L2_Alias</ability>
      <abilityName>也作/曾用词</abilityName>
      <candidateList>
        <item>其他</item>
      </candidateList>
      <explain>词汇[其它]为不规范表述或旧称，其规范书面表述为[其他]。</explain>
      <paraID>3C03F6EC</paraID>
      <start>6</start>
      <end>8</end>
      <status>modified</status>
      <modifiedWord>其他</modifiedWord>
      <trackRevisions>false</trackRevisions>
    </reviewItem>
    <reviewItem>
      <errorID>8c9e5b87-46fc-41bf-86fc-753e19740000</errorID>
      <errorWord>2、</errorWord>
      <group>L1_Format</group>
      <groupName>格式问题</groupName>
      <ability>L2_Ordinal</ability>
      <abilityName>序号格式</abilityName>
      <candidateList>
        <item>2.</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2F673ED0</paraID>
      <start>6</start>
      <end>8</end>
      <status>modified</status>
      <modifiedWord>2.</modifiedWord>
      <trackRevisions>false</trackRevisions>
    </reviewItem>
    <reviewItem>
      <errorID>6f952aaf-74e2-4890-8b23-0dda0da7e110</errorID>
      <errorWord>启</errorWord>
      <group>L1_Word</group>
      <groupName>字词问题</groupName>
      <ability>L2_Typo</ability>
      <abilityName>字词错误</abilityName>
      <candidateList>
        <item>起</item>
      </candidateList>
      <explain>〈动〉趋向动词。❶用在动词后，表示向上：抬～箱子往外走。❷用在动词后，表示力量够得上或够不上：经得～考验｜太贵了，买不～。注意动词和“起”之间常有“得”字或“不”字。❸用在动词后，表示事物随动作出现：乐队奏～迎宾曲｜会场响～热烈掌声。❹用在动词后，表示动作涉及人或事：他多次问～过你｜想～一件事。</explain>
      <paraID>5741DEA8</paraID>
      <start>20</start>
      <end>21</end>
      <status>modified</status>
      <modifiedWord>起</modifiedWord>
      <trackRevisions>false</trackRevisions>
    </reviewItem>
    <reviewItem>
      <errorID>0347ee52-22e7-4073-94f8-8ecbb6c53f25</errorID>
      <errorWord>两</errorWord>
      <group>L1_Word</group>
      <groupName>字词问题</groupName>
      <ability>L2_Typo</ability>
      <abilityName>字词错误</abilityName>
      <candidateList>
        <item>两个</item>
      </candidateList>
      <explain/>
      <paraID>5258B3AD</paraID>
      <start>1</start>
      <end>3</end>
      <status>modified</status>
      <modifiedWord>两个</modifiedWord>
      <trackRevisions>false</trackRevisions>
    </reviewItem>
    <reviewItem>
      <errorID>973190d0-1c93-4f9c-8dfd-c1a94f1f43ec</errorID>
      <errorWord>)</errorWord>
      <group>L1_Format</group>
      <groupName>格式问题</groupName>
      <ability>L2_HalfPunc</ability>
      <abilityName>全半角检查</abilityName>
      <candidateList>
        <item>）</item>
      </candidateList>
      <explain>文本全半角错误。</explain>
      <paraID>1329FF7B</paraID>
      <start>70</start>
      <end>71</end>
      <status>modified</status>
      <modifiedWord>）</modifiedWord>
      <trackRevisions>false</trackRevisions>
    </reviewItem>
    <reviewItem>
      <errorID>d93cebda-18f2-4fed-b419-a87a784d4896</errorID>
      <errorWord>,</errorWord>
      <group>L1_Format</group>
      <groupName>格式问题</groupName>
      <ability>L2_HalfPunc</ability>
      <abilityName>全半角检查</abilityName>
      <candidateList>
        <item>，</item>
      </candidateList>
      <explain>文本全半角错误。</explain>
      <paraID>1329FF7B</paraID>
      <start>71</start>
      <end>72</end>
      <status>modified</status>
      <modifiedWord>，</modifiedWord>
      <trackRevisions>false</trackRevisions>
    </reviewItem>
    <reviewItem>
      <errorID>0b696ea2-a013-484d-96b9-b519426eeeb2</errorID>
      <errorWord>PH值</errorWord>
      <group>L1_Word</group>
      <groupName>字词问题</groupName>
      <ability>L2_Typo</ability>
      <abilityName>字词错误</abilityName>
      <candidateList>
        <item>pH值</item>
      </candidateList>
      <explain/>
      <paraID>2B1A9565</paraID>
      <start>0</start>
      <end>3</end>
      <status>modified</status>
      <modifiedWord>pH值</modifiedWord>
      <trackRevisions>false</trackRevisions>
    </reviewItem>
    <reviewItem>
      <errorID>0129da33-291e-47be-af71-edd62fd433a5</errorID>
      <errorWord>)</errorWord>
      <group>L1_Format</group>
      <groupName>格式问题</groupName>
      <ability>L2_HalfPunc</ability>
      <abilityName>全半角检查</abilityName>
      <candidateList>
        <item>）</item>
      </candidateList>
      <explain>文本全半角错误。</explain>
      <paraID>799865A8</paraID>
      <start>12</start>
      <end>13</end>
      <status>modified</status>
      <modifiedWord>）</modifiedWord>
      <trackRevisions>false</trackRevisions>
    </reviewItem>
    <reviewItem>
      <errorID>c391fd45-0b31-481b-bb1d-879c76f08965</errorID>
      <errorWord>)</errorWord>
      <group>L1_Format</group>
      <groupName>格式问题</groupName>
      <ability>L2_HalfPunc</ability>
      <abilityName>全半角检查</abilityName>
      <candidateList>
        <item>）</item>
      </candidateList>
      <explain>文本全半角错误。</explain>
      <paraID>6DE37A3F</paraID>
      <start>11</start>
      <end>12</end>
      <status>modified</status>
      <modifiedWord>）</modifiedWord>
      <trackRevisions>false</trackRevisions>
    </reviewItem>
    <reviewItem>
      <errorID>3e5c8790-add1-4eff-a08e-4eaddf7a4673</errorID>
      <errorWord>安全生产法</errorWord>
      <group>L1_Knowledge</group>
      <groupName>知识性问题</groupName>
      <ability>L2_Knowledge</ability>
      <abilityName>其他知识</abilityName>
      <candidateList>
        <item>中华人民共和国安全生产法</item>
      </candidateList>
      <explain>当前法律法规名称使用简称，请注意是否应当使用全称。</explain>
      <paraID>1DD49B63</paraID>
      <start>43</start>
      <end>55</end>
      <status>modified</status>
      <modifiedWord>中华人民共和国安全生产法</modifiedWord>
      <trackRevisions>false</trackRevisions>
    </reviewItem>
    <reviewItem>
      <errorID>bc4ac8ae-a793-4226-84d2-dc7339529b56</errorID>
      <errorWord>民法典</errorWord>
      <group>L1_Knowledge</group>
      <groupName>知识性问题</groupName>
      <ability>L2_Knowledge</ability>
      <abilityName>其他知识</abilityName>
      <candidateList>
        <item>中华人民共和国民法典</item>
      </candidateList>
      <explain>当前法律法规名称使用简称，请注意是否应当使用全称。</explain>
      <paraID>1DD49B63</paraID>
      <start>58</start>
      <end>68</end>
      <status>modified</status>
      <modifiedWord>中华人民共和国民法典</modifiedWord>
      <trackRevisions>false</trackRevisions>
    </reviewItem>
    <reviewItem>
      <errorID>f05fec7f-0134-4e50-b2f6-c16c4abc901c</errorID>
      <errorWord>《中纺大厦B2层污水处理设备维护维修保养合同》（以下简称维护保养合同）</errorWord>
      <group>L1_Knowledge</group>
      <groupName>知识性问题</groupName>
      <ability>L2_Knowledge</ability>
      <abilityName>其他知识</abilityName>
      <candidateList>
        <item>《中纺大厦B2层污水处理设备维护维修保养合同》（以下简称“维护保养合同”）</item>
      </candidateList>
      <explain>疑似政策文件、法律法规名称等书写不规范，请注意检查。</explain>
      <paraID>1DD49B63</paraID>
      <start>107</start>
      <end>144</end>
      <status>modified</status>
      <modifiedWord>《中纺大厦B2层污水处理设备维护维修保养合同》（以下简称“维护保养合同”）</modifiedWord>
      <trackRevisions>false</trackRevisions>
    </reviewItem>
    <reviewItem>
      <errorID>ba4bf325-76c5-4fb9-b88a-6b8ad9f05718</errorID>
      <errorWord>组织对</errorWord>
      <group>L1_Word</group>
      <groupName>字词问题</groupName>
      <ability>L2_Typo</ability>
      <abilityName>字词错误</abilityName>
      <candidateList>
        <item>组织</item>
      </candidateList>
      <explain>❶〈动〉安排分散的人或事物使具有一定的系统性或整体性：～人力｜～联欢晚会｜这篇文章～得很好。❷〈名〉系统；配合关系：～严密｜～松散。❸〈名〉纺织品经纬纱线的结构：平纹～｜斜纹～｜缎纹～。❹〈名〉机体中构成器官的单位，是由许多形态和功能相同的细胞按一定的方式结合而成的。人和高等动物体内有上皮组织、结缔组织、肌组织和神经组织。❺〈名〉按照一定的宗旨和系统建立起来的集体：党团～｜工会～｜向～汇报工作。</explain>
      <paraID>241E342E</paraID>
      <start>0</start>
      <end>2</end>
      <status>modified</status>
      <modifiedWord>组织</modifiedWord>
      <trackRevisions>false</trackRevisions>
    </reviewItem>
    <reviewItem>
      <errorID>b29b628d-c83f-421d-acbf-31f1a0b42c70</errorID>
      <errorWord>、直至</errorWord>
      <group>L1_Word</group>
      <groupName>字词问题</groupName>
      <ability>L2_Typo</ability>
      <abilityName>字词错误</abilityName>
      <candidateList>
        <item>直至</item>
      </candidateList>
      <explain/>
      <paraID>64B1CE1A</paraID>
      <start>52</start>
      <end>54</end>
      <status>modified</status>
      <modifiedWord>直至</modifiedWord>
      <trackRevisions>false</trackRevisions>
    </reviewItem>
    <reviewItem>
      <errorID>27678d57-fa95-4ba4-b6ca-3e33afb6e3b7</errorID>
      <errorWord>方</errorWord>
      <group>L1_Word</group>
      <groupName>字词问题</groupName>
      <ability>L2_Typo</ability>
      <abilityName>字词错误</abilityName>
      <candidateList>
        <item>方在</item>
      </candidateList>
      <explain/>
      <paraID>49A13B26</paraID>
      <start>7</start>
      <end>9</end>
      <status>modified</status>
      <modifiedWord>方在</modifiedWord>
      <trackRevisions>false</trackRevisions>
    </reviewItem>
    <reviewItem>
      <errorID>e8fd91c3-d76d-47e7-93f1-4290df77a7a7</errorID>
      <errorWord>(</errorWord>
      <group>L1_Punc</group>
      <groupName>标点问题</groupName>
      <ability>L2_Punc</ability>
      <abilityName>标点符号检查</abilityName>
      <candidateList/>
      <explain/>
      <paraID> 14BE8BC</paraID>
      <start>8</start>
      <end>9</end>
      <status>ignored</status>
      <modifiedWord/>
      <trackRevisions>false</trackRevisions>
    </reviewItem>
    <reviewItem>
      <errorID>7d771cb8-91dc-448a-8e9d-b5598d4061da</errorID>
      <errorWord>15、</errorWord>
      <group>L1_Format</group>
      <groupName>格式问题</groupName>
      <ability>L2_Ordinal</ability>
      <abilityName>序号格式</abilityName>
      <candidateList>
        <item>15.</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5916EC2C</paraID>
      <start>0</start>
      <end>3</end>
      <status>modified</status>
      <modifiedWord>15.</modifiedWord>
      <trackRevisions>false</trackRevisions>
    </reviewItem>
  </reviewItems>
  <config/>
</contractReview>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b89db0e-ff6d-4ac1-b858-d6bd7e07996b}">
  <ds:schemaRefs/>
</ds:datastoreItem>
</file>

<file path=docProps/app.xml><?xml version="1.0" encoding="utf-8"?>
<Properties xmlns="http://schemas.openxmlformats.org/officeDocument/2006/extended-properties" xmlns:vt="http://schemas.openxmlformats.org/officeDocument/2006/docPropsVTypes">
  <Template>Normal.dotm</Template>
  <Pages>37</Pages>
  <Words>1992</Words>
  <Characters>2200</Characters>
  <Lines>0</Lines>
  <Paragraphs>0</Paragraphs>
  <TotalTime>0</TotalTime>
  <ScaleCrop>false</ScaleCrop>
  <LinksUpToDate>false</LinksUpToDate>
  <CharactersWithSpaces>2202</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2025-08-20T11:56:00Z</dcterms:created>
  <dc:creator>guo</dc:creator>
  <cp:lastModifiedBy>国庆</cp:lastModifiedBy>
  <dcterms:modified xsi:type="dcterms:W3CDTF">2025-12-15T01:49:47Z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F21EF29680E84B78BE5447D69331FFBD_12</vt:lpwstr>
  </property>
  <property fmtid="{D5CDD505-2E9C-101B-9397-08002B2CF9AE}" pid="4" name="KSOTemplateDocerSaveRecord">
    <vt:lpwstr>eyJoZGlkIjoiNjJhMGVkYWFkNzc3NTQyNmU3OWUxODU4OGNkZmVjOWEiLCJ1c2VySWQiOiI0NTg2NTk5OTgifQ==</vt:lpwstr>
  </property>
</Properties>
</file>