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03A2E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方正小标宋简体" w:hAnsi="宋体" w:eastAsia="方正小标宋简体" w:cs="宋体"/>
          <w:b/>
          <w:color w:val="000000" w:themeColor="text1"/>
          <w:sz w:val="56"/>
          <w:szCs w:val="44"/>
          <w:highlight w:val="none"/>
          <w:lang w:val="en-US" w:eastAsia="zh-CN"/>
          <w14:textFill>
            <w14:solidFill>
              <w14:schemeClr w14:val="tx1"/>
            </w14:solidFill>
          </w14:textFill>
        </w:rPr>
      </w:pPr>
      <w:r>
        <w:rPr>
          <w:rFonts w:hint="eastAsia" w:ascii="方正小标宋简体" w:hAnsi="宋体" w:eastAsia="方正小标宋简体" w:cs="宋体"/>
          <w:b/>
          <w:color w:val="000000" w:themeColor="text1"/>
          <w:sz w:val="56"/>
          <w:szCs w:val="44"/>
          <w:highlight w:val="none"/>
          <w:lang w:val="en-US" w:eastAsia="zh-CN"/>
          <w14:textFill>
            <w14:solidFill>
              <w14:schemeClr w14:val="tx1"/>
            </w14:solidFill>
          </w14:textFill>
        </w:rPr>
        <w:t xml:space="preserve"> </w:t>
      </w:r>
    </w:p>
    <w:p w14:paraId="19F40F1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方正小标宋简体" w:hAnsi="宋体" w:eastAsia="方正小标宋简体" w:cs="宋体"/>
          <w:b/>
          <w:color w:val="000000" w:themeColor="text1"/>
          <w:sz w:val="56"/>
          <w:szCs w:val="44"/>
          <w:highlight w:val="none"/>
          <w:lang w:val="en-US" w:eastAsia="zh-CN"/>
          <w14:textFill>
            <w14:solidFill>
              <w14:schemeClr w14:val="tx1"/>
            </w14:solidFill>
          </w14:textFill>
        </w:rPr>
      </w:pPr>
    </w:p>
    <w:p w14:paraId="35C020D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方正小标宋简体" w:hAnsi="宋体" w:eastAsia="方正小标宋简体" w:cs="宋体"/>
          <w:b/>
          <w:color w:val="000000" w:themeColor="text1"/>
          <w:sz w:val="56"/>
          <w:szCs w:val="44"/>
          <w:highlight w:val="none"/>
          <w:lang w:val="en-US" w:eastAsia="zh-CN"/>
          <w14:textFill>
            <w14:solidFill>
              <w14:schemeClr w14:val="tx1"/>
            </w14:solidFill>
          </w14:textFill>
        </w:rPr>
      </w:pPr>
    </w:p>
    <w:p w14:paraId="70E2F9E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方正小标宋简体" w:hAnsi="宋体" w:eastAsia="方正小标宋简体" w:cs="宋体"/>
          <w:b/>
          <w:color w:val="000000" w:themeColor="text1"/>
          <w:sz w:val="56"/>
          <w:szCs w:val="44"/>
          <w:highlight w:val="none"/>
          <w:lang w:val="en-US" w:eastAsia="zh-CN"/>
          <w14:textFill>
            <w14:solidFill>
              <w14:schemeClr w14:val="tx1"/>
            </w14:solidFill>
          </w14:textFill>
        </w:rPr>
      </w:pPr>
    </w:p>
    <w:p w14:paraId="5E45D46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方正小标宋简体" w:hAnsi="宋体" w:eastAsia="方正小标宋简体" w:cs="宋体"/>
          <w:b/>
          <w:color w:val="000000" w:themeColor="text1"/>
          <w:sz w:val="56"/>
          <w:szCs w:val="44"/>
          <w:highlight w:val="none"/>
          <w:lang w:val="en-US" w:eastAsia="zh-CN"/>
          <w14:textFill>
            <w14:solidFill>
              <w14:schemeClr w14:val="tx1"/>
            </w14:solidFill>
          </w14:textFill>
        </w:rPr>
      </w:pPr>
    </w:p>
    <w:p w14:paraId="3310708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方正小标宋简体" w:hAnsi="宋体" w:eastAsia="方正小标宋简体" w:cs="宋体"/>
          <w:b/>
          <w:color w:val="auto"/>
          <w:kern w:val="0"/>
          <w:sz w:val="56"/>
          <w:szCs w:val="44"/>
          <w:lang w:val="en-US" w:eastAsia="zh-CN"/>
        </w:rPr>
      </w:pPr>
      <w:r>
        <w:rPr>
          <w:rFonts w:hint="eastAsia" w:ascii="方正小标宋简体" w:hAnsi="宋体" w:eastAsia="方正小标宋简体" w:cs="宋体"/>
          <w:b/>
          <w:color w:val="000000"/>
          <w:kern w:val="0"/>
          <w:sz w:val="56"/>
          <w:szCs w:val="44"/>
          <w:highlight w:val="none"/>
          <w:lang w:val="en-US" w:eastAsia="zh-CN"/>
        </w:rPr>
        <w:t>2026年度中纺大厦燃气报警监测设备检验、标定服务项目竞价采购</w:t>
      </w:r>
      <w:r>
        <w:rPr>
          <w:rFonts w:hint="eastAsia" w:ascii="方正小标宋简体" w:hAnsi="宋体" w:eastAsia="方正小标宋简体" w:cs="宋体"/>
          <w:b/>
          <w:color w:val="auto"/>
          <w:kern w:val="0"/>
          <w:sz w:val="56"/>
          <w:szCs w:val="44"/>
          <w:lang w:val="en-US" w:eastAsia="zh-CN"/>
        </w:rPr>
        <w:t>公告</w:t>
      </w:r>
    </w:p>
    <w:p w14:paraId="3B04BA0F">
      <w:pPr>
        <w:widowControl/>
        <w:spacing w:before="4680" w:beforeLines="1500" w:line="720" w:lineRule="auto"/>
        <w:jc w:val="center"/>
        <w:rPr>
          <w:rFonts w:hint="default"/>
          <w:lang w:val="en-US" w:eastAsia="zh-CN"/>
        </w:rPr>
      </w:pPr>
      <w:r>
        <w:rPr>
          <w:rFonts w:hint="eastAsia" w:ascii="仿宋_GB2312" w:hAnsi="宋体" w:eastAsia="仿宋_GB2312" w:cs="宋体"/>
          <w:color w:val="auto"/>
          <w:sz w:val="32"/>
          <w:szCs w:val="28"/>
        </w:rPr>
        <w:t>采购</w:t>
      </w:r>
      <w:r>
        <w:rPr>
          <w:rFonts w:hint="eastAsia" w:ascii="仿宋_GB2312" w:hAnsi="宋体" w:eastAsia="仿宋_GB2312" w:cs="宋体"/>
          <w:color w:val="auto"/>
          <w:sz w:val="32"/>
          <w:szCs w:val="28"/>
          <w:lang w:val="en-US" w:eastAsia="zh-CN"/>
        </w:rPr>
        <w:t>人</w:t>
      </w:r>
      <w:r>
        <w:rPr>
          <w:rFonts w:hint="eastAsia" w:ascii="仿宋_GB2312" w:hAnsi="宋体" w:eastAsia="仿宋_GB2312" w:cs="宋体"/>
          <w:color w:val="auto"/>
          <w:sz w:val="32"/>
          <w:szCs w:val="28"/>
        </w:rPr>
        <w:t>：</w:t>
      </w:r>
      <w:r>
        <w:rPr>
          <w:rFonts w:hint="eastAsia" w:ascii="仿宋_GB2312" w:hAnsi="宋体" w:eastAsia="仿宋_GB2312" w:cs="宋体"/>
          <w:color w:val="auto"/>
          <w:sz w:val="32"/>
          <w:szCs w:val="28"/>
          <w:lang w:val="en-US" w:eastAsia="zh-CN"/>
        </w:rPr>
        <w:t>中国中纺集团有限公司</w:t>
      </w:r>
    </w:p>
    <w:p w14:paraId="5D21A03F">
      <w:pPr>
        <w:widowControl/>
        <w:spacing w:line="560" w:lineRule="exact"/>
        <w:jc w:val="center"/>
        <w:rPr>
          <w:rFonts w:hint="default" w:ascii="仿宋_GB2312" w:hAnsi="宋体" w:eastAsia="仿宋_GB2312" w:cs="宋体"/>
          <w:color w:val="auto"/>
          <w:sz w:val="40"/>
          <w:szCs w:val="44"/>
          <w:lang w:val="en-US"/>
        </w:rPr>
        <w:sectPr>
          <w:headerReference r:id="rId3" w:type="default"/>
          <w:footerReference r:id="rId5" w:type="default"/>
          <w:headerReference r:id="rId4" w:type="even"/>
          <w:footerReference r:id="rId6" w:type="even"/>
          <w:pgSz w:w="11906" w:h="16838"/>
          <w:pgMar w:top="1440" w:right="1066" w:bottom="1440" w:left="1180" w:header="851" w:footer="992" w:gutter="0"/>
          <w:pgNumType w:fmt="decimal"/>
          <w:cols w:space="425" w:num="1"/>
          <w:docGrid w:type="lines" w:linePitch="312" w:charSpace="0"/>
        </w:sectPr>
      </w:pPr>
      <w:r>
        <w:rPr>
          <w:rFonts w:hint="eastAsia" w:ascii="仿宋_GB2312" w:hAnsi="宋体" w:eastAsia="仿宋_GB2312" w:cs="宋体"/>
          <w:color w:val="auto"/>
          <w:sz w:val="32"/>
          <w:szCs w:val="28"/>
          <w:lang w:eastAsia="zh-CN"/>
        </w:rPr>
        <w:t xml:space="preserve"> </w:t>
      </w:r>
      <w:r>
        <w:rPr>
          <w:rFonts w:ascii="仿宋_GB2312" w:hAnsi="宋体" w:eastAsia="仿宋_GB2312" w:cs="宋体"/>
          <w:color w:val="auto"/>
          <w:sz w:val="32"/>
          <w:szCs w:val="28"/>
        </w:rPr>
        <w:t>202</w:t>
      </w:r>
      <w:r>
        <w:rPr>
          <w:rFonts w:hint="eastAsia" w:ascii="仿宋_GB2312" w:hAnsi="宋体" w:eastAsia="仿宋_GB2312" w:cs="宋体"/>
          <w:color w:val="auto"/>
          <w:sz w:val="32"/>
          <w:szCs w:val="28"/>
          <w:lang w:val="en-US" w:eastAsia="zh-CN"/>
        </w:rPr>
        <w:t>5</w:t>
      </w:r>
      <w:r>
        <w:rPr>
          <w:rFonts w:hint="eastAsia" w:ascii="仿宋_GB2312" w:hAnsi="宋体" w:eastAsia="仿宋_GB2312" w:cs="宋体"/>
          <w:color w:val="auto"/>
          <w:sz w:val="32"/>
          <w:szCs w:val="28"/>
        </w:rPr>
        <w:t>年</w:t>
      </w:r>
      <w:r>
        <w:rPr>
          <w:rFonts w:hint="eastAsia" w:ascii="仿宋_GB2312" w:hAnsi="宋体" w:eastAsia="仿宋_GB2312" w:cs="宋体"/>
          <w:color w:val="auto"/>
          <w:sz w:val="32"/>
          <w:szCs w:val="28"/>
          <w:lang w:val="en-US" w:eastAsia="zh-CN"/>
        </w:rPr>
        <w:t>12月</w:t>
      </w:r>
    </w:p>
    <w:p w14:paraId="7DBB0C42">
      <w:pPr>
        <w:pStyle w:val="8"/>
        <w:keepNext w:val="0"/>
        <w:keepLines w:val="0"/>
        <w:widowControl/>
        <w:suppressLineNumbers w:val="0"/>
        <w:spacing w:before="0" w:beforeAutospacing="0" w:after="0" w:afterAutospacing="0"/>
        <w:ind w:left="0" w:right="0" w:firstLine="480" w:firstLineChars="200"/>
        <w:rPr>
          <w:rFonts w:hint="eastAsia" w:ascii="仿宋" w:hAnsi="仿宋" w:eastAsia="仿宋" w:cs="仿宋"/>
          <w:color w:val="auto"/>
          <w:kern w:val="2"/>
          <w:sz w:val="24"/>
          <w:szCs w:val="22"/>
          <w:lang w:val="en-US" w:eastAsia="zh-CN" w:bidi="ar-SA"/>
        </w:rPr>
      </w:pPr>
      <w:r>
        <w:rPr>
          <w:rFonts w:hint="eastAsia" w:ascii="仿宋" w:hAnsi="仿宋" w:eastAsia="仿宋" w:cs="仿宋"/>
          <w:color w:val="auto"/>
          <w:kern w:val="2"/>
          <w:sz w:val="24"/>
          <w:szCs w:val="22"/>
          <w:lang w:val="en-US" w:eastAsia="zh-CN" w:bidi="ar-SA"/>
        </w:rPr>
        <w:t>中纺物业管理有限公司拟通过竞价采购方式，遴选2026年度中纺大厦燃气报警监测设备检验、标定服务项目服务单位。兹邀请贵公司参加并提供本项目方案及报价。</w:t>
      </w:r>
    </w:p>
    <w:p w14:paraId="2244F0F8">
      <w:pPr>
        <w:spacing w:line="360" w:lineRule="auto"/>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一、项目概况：</w:t>
      </w:r>
      <w:bookmarkStart w:id="0" w:name="_GoBack"/>
      <w:bookmarkEnd w:id="0"/>
    </w:p>
    <w:p w14:paraId="5726339E">
      <w:pPr>
        <w:spacing w:line="360" w:lineRule="auto"/>
        <w:ind w:firstLine="240" w:firstLineChars="1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1.项目名称：2026年度中纺大厦燃气报警监测设备检验、标定服务项目；</w:t>
      </w:r>
    </w:p>
    <w:p w14:paraId="5F4BFBD3">
      <w:pPr>
        <w:spacing w:line="360" w:lineRule="auto"/>
        <w:ind w:firstLine="240" w:firstLineChars="1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2.项目地址：北京市东城区建国门内大街19号；</w:t>
      </w:r>
    </w:p>
    <w:p w14:paraId="5D6A8A4C">
      <w:pPr>
        <w:spacing w:line="360" w:lineRule="auto"/>
        <w:ind w:firstLine="240" w:firstLineChars="1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3.最高限价（含税）：3万元，超出该价格的响应无效；</w:t>
      </w:r>
    </w:p>
    <w:p w14:paraId="7250B3CC">
      <w:pPr>
        <w:spacing w:line="360" w:lineRule="auto"/>
        <w:ind w:firstLine="240" w:firstLineChars="1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4.采购内容：燃气报警监测设备2套（天津拓安品牌）；</w:t>
      </w:r>
    </w:p>
    <w:p w14:paraId="4FD5A4F2">
      <w:pPr>
        <w:spacing w:line="360" w:lineRule="auto"/>
        <w:ind w:firstLine="240" w:firstLineChars="1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5.检测维修周期：一年（自2026.1.1日至2026.12.31日止）具体时间以合同签订时间为准。</w:t>
      </w:r>
    </w:p>
    <w:p w14:paraId="3122006D">
      <w:pPr>
        <w:spacing w:line="360" w:lineRule="auto"/>
        <w:ind w:firstLine="240" w:firstLineChars="100"/>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6.特别提示：本项目属于竞价采购无需办理CA。</w:t>
      </w:r>
    </w:p>
    <w:p w14:paraId="38A8ED9D">
      <w:pPr>
        <w:spacing w:line="360" w:lineRule="auto"/>
        <w:rPr>
          <w:rFonts w:hint="eastAsia" w:ascii="仿宋" w:hAnsi="仿宋" w:eastAsia="仿宋" w:cs="仿宋"/>
          <w:b/>
          <w:bCs/>
          <w:color w:val="auto"/>
          <w:sz w:val="30"/>
          <w:szCs w:val="30"/>
        </w:rPr>
      </w:pPr>
      <w:r>
        <w:rPr>
          <w:rFonts w:hint="eastAsia" w:ascii="仿宋" w:hAnsi="仿宋" w:eastAsia="仿宋" w:cs="仿宋"/>
          <w:b/>
          <w:bCs/>
          <w:color w:val="auto"/>
          <w:sz w:val="30"/>
          <w:szCs w:val="30"/>
          <w:lang w:val="en-US" w:eastAsia="zh-CN"/>
        </w:rPr>
        <w:t>二、</w:t>
      </w:r>
      <w:r>
        <w:rPr>
          <w:rFonts w:hint="eastAsia" w:ascii="仿宋" w:hAnsi="仿宋" w:eastAsia="仿宋" w:cs="仿宋"/>
          <w:b/>
          <w:bCs/>
          <w:color w:val="auto"/>
          <w:sz w:val="30"/>
          <w:szCs w:val="30"/>
        </w:rPr>
        <w:t>获取</w:t>
      </w:r>
      <w:r>
        <w:rPr>
          <w:rFonts w:hint="eastAsia" w:ascii="仿宋" w:hAnsi="仿宋" w:eastAsia="仿宋" w:cs="仿宋"/>
          <w:b/>
          <w:bCs/>
          <w:color w:val="auto"/>
          <w:sz w:val="30"/>
          <w:szCs w:val="30"/>
          <w:lang w:eastAsia="zh-CN"/>
        </w:rPr>
        <w:t>采购</w:t>
      </w:r>
      <w:r>
        <w:rPr>
          <w:rFonts w:hint="eastAsia" w:ascii="仿宋" w:hAnsi="仿宋" w:eastAsia="仿宋" w:cs="仿宋"/>
          <w:b/>
          <w:bCs/>
          <w:color w:val="auto"/>
          <w:sz w:val="30"/>
          <w:szCs w:val="30"/>
        </w:rPr>
        <w:t>文件方式为线上。获取方式指引：</w:t>
      </w:r>
    </w:p>
    <w:p w14:paraId="5FB6B5F6">
      <w:pPr>
        <w:spacing w:line="360" w:lineRule="auto"/>
        <w:ind w:firstLine="240" w:firstLineChars="100"/>
        <w:rPr>
          <w:rFonts w:hint="eastAsia" w:ascii="仿宋" w:hAnsi="仿宋" w:eastAsia="仿宋" w:cs="仿宋"/>
          <w:color w:val="auto"/>
          <w:sz w:val="24"/>
        </w:rPr>
      </w:pPr>
      <w:r>
        <w:rPr>
          <w:rFonts w:hint="eastAsia" w:ascii="仿宋" w:hAnsi="仿宋" w:eastAsia="仿宋" w:cs="仿宋"/>
          <w:color w:val="auto"/>
          <w:sz w:val="24"/>
          <w:lang w:val="en-US" w:eastAsia="zh-CN"/>
        </w:rPr>
        <w:t>1.</w:t>
      </w:r>
      <w:r>
        <w:rPr>
          <w:rFonts w:hint="eastAsia" w:ascii="仿宋" w:hAnsi="仿宋" w:eastAsia="仿宋" w:cs="仿宋"/>
          <w:color w:val="auto"/>
          <w:sz w:val="24"/>
        </w:rPr>
        <w:t>首次参加中粮E采供应链采购平台（以下简称：“电子交易平台”，网址：https://ecai.cofco.com/web-portal/index.html#/home）投标活动的供应商须前往电子交易平台进行“实名户注册</w:t>
      </w:r>
      <w:r>
        <w:rPr>
          <w:rFonts w:hint="eastAsia" w:ascii="仿宋" w:hAnsi="仿宋" w:eastAsia="仿宋" w:cs="仿宋"/>
          <w:color w:val="auto"/>
          <w:sz w:val="24"/>
          <w:lang w:eastAsia="zh-CN"/>
        </w:rPr>
        <w:t>－</w:t>
      </w:r>
      <w:r>
        <w:rPr>
          <w:rFonts w:hint="eastAsia" w:ascii="仿宋" w:hAnsi="仿宋" w:eastAsia="仿宋" w:cs="仿宋"/>
          <w:color w:val="auto"/>
          <w:sz w:val="24"/>
        </w:rPr>
        <w:t>主体认证</w:t>
      </w:r>
      <w:r>
        <w:rPr>
          <w:rFonts w:hint="eastAsia" w:ascii="仿宋" w:hAnsi="仿宋" w:eastAsia="仿宋" w:cs="仿宋"/>
          <w:color w:val="auto"/>
          <w:sz w:val="24"/>
          <w:lang w:eastAsia="zh-CN"/>
        </w:rPr>
        <w:t>－</w:t>
      </w:r>
      <w:r>
        <w:rPr>
          <w:rFonts w:hint="eastAsia" w:ascii="仿宋" w:hAnsi="仿宋" w:eastAsia="仿宋" w:cs="仿宋"/>
          <w:color w:val="auto"/>
          <w:sz w:val="24"/>
        </w:rPr>
        <w:t>业务申请”三个环节完成注册，注册成功后准备营业执照、法人章、企业公章等资料进行“CA办理”。供应商可在电子交易平台下载平台操作指南或网上注册、CA办理及电子投标的操作视频。若供应商未及时在电子交易平台中注册并办理CA，由此引起的后果由投标人自行承担</w:t>
      </w:r>
      <w:r>
        <w:rPr>
          <w:rFonts w:hint="eastAsia" w:ascii="仿宋" w:hAnsi="仿宋" w:eastAsia="仿宋" w:cs="仿宋"/>
          <w:color w:val="auto"/>
          <w:sz w:val="24"/>
          <w:lang w:eastAsia="zh-CN"/>
        </w:rPr>
        <w:t>，</w:t>
      </w:r>
      <w:r>
        <w:rPr>
          <w:rFonts w:hint="eastAsia" w:ascii="仿宋" w:hAnsi="仿宋" w:eastAsia="仿宋" w:cs="仿宋"/>
          <w:color w:val="auto"/>
          <w:sz w:val="24"/>
        </w:rPr>
        <w:t>已办理注册并取得CA证书的供应商可忽略本步骤。</w:t>
      </w:r>
    </w:p>
    <w:p w14:paraId="3651332A">
      <w:pPr>
        <w:spacing w:line="360" w:lineRule="auto"/>
        <w:ind w:firstLine="240" w:firstLineChars="100"/>
        <w:rPr>
          <w:rFonts w:hint="eastAsia" w:ascii="仿宋" w:hAnsi="仿宋" w:eastAsia="仿宋" w:cs="仿宋"/>
          <w:color w:val="auto"/>
          <w:sz w:val="24"/>
        </w:rPr>
      </w:pPr>
      <w:r>
        <w:rPr>
          <w:rFonts w:hint="eastAsia" w:ascii="仿宋" w:hAnsi="仿宋" w:eastAsia="仿宋" w:cs="仿宋"/>
          <w:color w:val="auto"/>
          <w:sz w:val="24"/>
          <w:lang w:val="en-US" w:eastAsia="zh-CN"/>
        </w:rPr>
        <w:t>2.</w:t>
      </w:r>
      <w:r>
        <w:rPr>
          <w:rFonts w:hint="eastAsia" w:ascii="仿宋" w:hAnsi="仿宋" w:eastAsia="仿宋" w:cs="仿宋"/>
          <w:color w:val="auto"/>
          <w:sz w:val="24"/>
        </w:rPr>
        <w:t>供应商凭机构CA（也可凭在电子交易平台上注册的手机号和接收的验证码）登录电子交易平台（网址：</w:t>
      </w: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HYPERLINK "https://ecai.cofco.com/web-login/index.html#/login?loginType=2）在网上下载招标文件及附件，超过获取招标文件截止时间的将不能下载招标文件及附件。未按规定从电子交易平台获取招标文件的，不能参加投标。" </w:instrText>
      </w:r>
      <w:r>
        <w:rPr>
          <w:rFonts w:hint="eastAsia" w:ascii="仿宋" w:hAnsi="仿宋" w:eastAsia="仿宋" w:cs="仿宋"/>
          <w:color w:val="auto"/>
          <w:sz w:val="24"/>
        </w:rPr>
        <w:fldChar w:fldCharType="separate"/>
      </w:r>
      <w:r>
        <w:rPr>
          <w:rFonts w:hint="eastAsia" w:ascii="仿宋" w:hAnsi="仿宋" w:eastAsia="仿宋" w:cs="仿宋"/>
          <w:color w:val="auto"/>
          <w:sz w:val="24"/>
        </w:rPr>
        <w:t>https://ecai.cofco.com/web-login/index.html#/login?loginType=2）在网上下载</w:t>
      </w:r>
      <w:r>
        <w:rPr>
          <w:rFonts w:hint="eastAsia" w:ascii="仿宋" w:hAnsi="仿宋" w:eastAsia="仿宋" w:cs="仿宋"/>
          <w:color w:val="auto"/>
          <w:sz w:val="24"/>
          <w:lang w:eastAsia="zh-CN"/>
        </w:rPr>
        <w:t>采购</w:t>
      </w:r>
      <w:r>
        <w:rPr>
          <w:rFonts w:hint="eastAsia" w:ascii="仿宋" w:hAnsi="仿宋" w:eastAsia="仿宋" w:cs="仿宋"/>
          <w:color w:val="auto"/>
          <w:sz w:val="24"/>
        </w:rPr>
        <w:t>文件及附件，超过获取</w:t>
      </w:r>
      <w:r>
        <w:rPr>
          <w:rFonts w:hint="eastAsia" w:ascii="仿宋" w:hAnsi="仿宋" w:eastAsia="仿宋" w:cs="仿宋"/>
          <w:color w:val="auto"/>
          <w:sz w:val="24"/>
          <w:lang w:eastAsia="zh-CN"/>
        </w:rPr>
        <w:t>采购</w:t>
      </w:r>
      <w:r>
        <w:rPr>
          <w:rFonts w:hint="eastAsia" w:ascii="仿宋" w:hAnsi="仿宋" w:eastAsia="仿宋" w:cs="仿宋"/>
          <w:color w:val="auto"/>
          <w:sz w:val="24"/>
        </w:rPr>
        <w:t>文件截止时间的将不能下载</w:t>
      </w:r>
      <w:r>
        <w:rPr>
          <w:rFonts w:hint="eastAsia" w:ascii="仿宋" w:hAnsi="仿宋" w:eastAsia="仿宋" w:cs="仿宋"/>
          <w:color w:val="auto"/>
          <w:sz w:val="24"/>
          <w:lang w:eastAsia="zh-CN"/>
        </w:rPr>
        <w:t>采购</w:t>
      </w:r>
      <w:r>
        <w:rPr>
          <w:rFonts w:hint="eastAsia" w:ascii="仿宋" w:hAnsi="仿宋" w:eastAsia="仿宋" w:cs="仿宋"/>
          <w:color w:val="auto"/>
          <w:sz w:val="24"/>
        </w:rPr>
        <w:t>文件及附件。未按规定从电子交易平台获取</w:t>
      </w:r>
      <w:r>
        <w:rPr>
          <w:rFonts w:hint="eastAsia" w:ascii="仿宋" w:hAnsi="仿宋" w:eastAsia="仿宋" w:cs="仿宋"/>
          <w:color w:val="auto"/>
          <w:sz w:val="24"/>
          <w:lang w:eastAsia="zh-CN"/>
        </w:rPr>
        <w:t>采购</w:t>
      </w:r>
      <w:r>
        <w:rPr>
          <w:rFonts w:hint="eastAsia" w:ascii="仿宋" w:hAnsi="仿宋" w:eastAsia="仿宋" w:cs="仿宋"/>
          <w:color w:val="auto"/>
          <w:sz w:val="24"/>
        </w:rPr>
        <w:t>文件的，不能参加投标。</w:t>
      </w:r>
      <w:r>
        <w:rPr>
          <w:rFonts w:hint="eastAsia" w:ascii="仿宋" w:hAnsi="仿宋" w:eastAsia="仿宋" w:cs="仿宋"/>
          <w:color w:val="auto"/>
          <w:sz w:val="24"/>
        </w:rPr>
        <w:fldChar w:fldCharType="end"/>
      </w:r>
    </w:p>
    <w:p w14:paraId="11AFAC95">
      <w:pPr>
        <w:spacing w:line="360" w:lineRule="auto"/>
        <w:ind w:firstLine="240" w:firstLineChars="1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3.供应商操作指引下载如下图：</w:t>
      </w:r>
    </w:p>
    <w:p w14:paraId="185CC75D">
      <w:pPr>
        <w:spacing w:line="360" w:lineRule="auto"/>
        <w:ind w:firstLine="240" w:firstLineChars="100"/>
        <w:rPr>
          <w:rFonts w:hint="default" w:ascii="仿宋" w:hAnsi="仿宋" w:eastAsia="仿宋" w:cs="仿宋"/>
          <w:color w:val="auto"/>
          <w:sz w:val="24"/>
          <w:lang w:val="en-US" w:eastAsia="zh-CN"/>
        </w:rPr>
      </w:pPr>
      <w:r>
        <w:rPr>
          <w:rFonts w:hint="default" w:ascii="仿宋" w:hAnsi="仿宋" w:eastAsia="仿宋" w:cs="仿宋"/>
          <w:color w:val="auto"/>
          <w:sz w:val="24"/>
          <w:lang w:val="en-US" w:eastAsia="zh-CN"/>
        </w:rPr>
        <w:drawing>
          <wp:inline distT="0" distB="0" distL="114300" distR="114300">
            <wp:extent cx="5915025" cy="2057400"/>
            <wp:effectExtent l="0" t="0" r="9525" b="0"/>
            <wp:docPr id="2" name="图片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
                    <pic:cNvPicPr>
                      <a:picLocks noChangeAspect="1"/>
                    </pic:cNvPicPr>
                  </pic:nvPicPr>
                  <pic:blipFill>
                    <a:blip r:embed="rId10"/>
                    <a:stretch>
                      <a:fillRect/>
                    </a:stretch>
                  </pic:blipFill>
                  <pic:spPr>
                    <a:xfrm>
                      <a:off x="0" y="0"/>
                      <a:ext cx="5915025" cy="2057400"/>
                    </a:xfrm>
                    <a:prstGeom prst="rect">
                      <a:avLst/>
                    </a:prstGeom>
                  </pic:spPr>
                </pic:pic>
              </a:graphicData>
            </a:graphic>
          </wp:inline>
        </w:drawing>
      </w:r>
    </w:p>
    <w:p w14:paraId="48BD0BC8">
      <w:pPr>
        <w:spacing w:line="360" w:lineRule="auto"/>
        <w:ind w:firstLine="480" w:firstLineChars="200"/>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平台咨询热线：</w:t>
      </w:r>
      <w:r>
        <w:rPr>
          <w:rFonts w:hint="eastAsia" w:ascii="仿宋" w:hAnsi="仿宋" w:eastAsia="仿宋" w:cs="仿宋"/>
          <w:color w:val="auto"/>
          <w:sz w:val="24"/>
        </w:rPr>
        <w:t>010-</w:t>
      </w:r>
      <w:r>
        <w:rPr>
          <w:rFonts w:hint="eastAsia" w:ascii="仿宋" w:hAnsi="仿宋" w:eastAsia="仿宋" w:cs="仿宋"/>
          <w:color w:val="auto"/>
          <w:sz w:val="24"/>
          <w:lang w:val="en-US" w:eastAsia="zh-CN"/>
        </w:rPr>
        <w:t>86484080</w:t>
      </w:r>
    </w:p>
    <w:p w14:paraId="65D39BF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CA办理</w:t>
      </w:r>
      <w:r>
        <w:rPr>
          <w:rFonts w:hint="eastAsia" w:ascii="仿宋" w:hAnsi="仿宋" w:eastAsia="仿宋" w:cs="仿宋"/>
          <w:color w:val="auto"/>
          <w:sz w:val="24"/>
        </w:rPr>
        <w:t>咨询热线：010-58515511、4009197888</w:t>
      </w:r>
    </w:p>
    <w:p w14:paraId="155C16E6">
      <w:pPr>
        <w:widowControl/>
        <w:spacing w:line="480" w:lineRule="exact"/>
        <w:jc w:val="left"/>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三、电子投标/响应文件必须使用“中粮E采投标文件制作工具”制作生成并上传。</w:t>
      </w:r>
    </w:p>
    <w:p w14:paraId="7EA7795F">
      <w:pPr>
        <w:widowControl/>
        <w:spacing w:line="480" w:lineRule="exact"/>
        <w:ind w:firstLine="240" w:firstLineChars="100"/>
        <w:jc w:val="left"/>
        <w:rPr>
          <w:rFonts w:hint="eastAsia" w:ascii="仿宋" w:hAnsi="仿宋" w:eastAsia="仿宋" w:cstheme="minorBidi"/>
          <w:color w:val="auto"/>
          <w:w w:val="80"/>
          <w:kern w:val="2"/>
          <w:sz w:val="24"/>
          <w:szCs w:val="24"/>
          <w:highlight w:val="none"/>
          <w:u w:val="none" w:color="auto"/>
        </w:rPr>
      </w:pPr>
      <w:r>
        <w:rPr>
          <w:rFonts w:hint="eastAsia" w:ascii="仿宋" w:hAnsi="仿宋" w:eastAsia="仿宋" w:cs="仿宋"/>
          <w:color w:val="auto"/>
          <w:sz w:val="24"/>
          <w:lang w:val="en-US" w:eastAsia="zh-CN"/>
        </w:rPr>
        <w:t>1.</w:t>
      </w:r>
      <w:r>
        <w:rPr>
          <w:rFonts w:hint="eastAsia" w:ascii="仿宋" w:hAnsi="仿宋" w:eastAsia="仿宋" w:cs="仿宋"/>
          <w:color w:val="auto"/>
          <w:sz w:val="24"/>
          <w:lang w:eastAsia="zh-CN"/>
        </w:rPr>
        <w:t>下载地址：</w:t>
      </w:r>
      <w:r>
        <w:rPr>
          <w:rFonts w:hint="eastAsia" w:ascii="仿宋" w:hAnsi="仿宋" w:eastAsia="仿宋" w:cstheme="minorBidi"/>
          <w:color w:val="auto"/>
          <w:w w:val="80"/>
          <w:kern w:val="2"/>
          <w:sz w:val="24"/>
          <w:szCs w:val="24"/>
          <w:highlight w:val="none"/>
          <w:u w:val="none" w:color="auto"/>
        </w:rPr>
        <w:t>https://ecai.cofco.com/web-portal/#/help/help-details?code=3&amp;id=1093500649373683712&amp;type=toolSoftwareManagement，</w:t>
      </w:r>
      <w:r>
        <w:rPr>
          <w:rFonts w:hint="eastAsia" w:ascii="仿宋" w:hAnsi="仿宋" w:eastAsia="仿宋" w:cs="仿宋"/>
          <w:color w:val="auto"/>
          <w:sz w:val="24"/>
          <w:szCs w:val="24"/>
          <w:lang w:val="en-US" w:eastAsia="zh-CN"/>
        </w:rPr>
        <w:t>使用帮助详见：</w:t>
      </w:r>
      <w:r>
        <w:rPr>
          <w:rFonts w:hint="eastAsia" w:ascii="仿宋" w:hAnsi="仿宋" w:eastAsia="仿宋" w:cstheme="minorBidi"/>
          <w:color w:val="auto"/>
          <w:w w:val="80"/>
          <w:kern w:val="2"/>
          <w:sz w:val="24"/>
          <w:szCs w:val="24"/>
          <w:highlight w:val="none"/>
          <w:u w:val="none" w:color="auto"/>
        </w:rPr>
        <w:fldChar w:fldCharType="begin"/>
      </w:r>
      <w:r>
        <w:rPr>
          <w:rFonts w:hint="eastAsia" w:ascii="仿宋" w:hAnsi="仿宋" w:eastAsia="仿宋" w:cstheme="minorBidi"/>
          <w:color w:val="auto"/>
          <w:w w:val="80"/>
          <w:kern w:val="2"/>
          <w:sz w:val="24"/>
          <w:szCs w:val="24"/>
          <w:highlight w:val="none"/>
          <w:u w:val="none" w:color="auto"/>
        </w:rPr>
        <w:instrText xml:space="preserve"> HYPERLINK "https://ecai.cofco.com/web-portal/index.html" \l "/help/help-content。" </w:instrText>
      </w:r>
      <w:r>
        <w:rPr>
          <w:rFonts w:hint="eastAsia" w:ascii="仿宋" w:hAnsi="仿宋" w:eastAsia="仿宋" w:cstheme="minorBidi"/>
          <w:color w:val="auto"/>
          <w:w w:val="80"/>
          <w:kern w:val="2"/>
          <w:sz w:val="24"/>
          <w:szCs w:val="24"/>
          <w:highlight w:val="none"/>
          <w:u w:val="none" w:color="auto"/>
        </w:rPr>
        <w:fldChar w:fldCharType="separate"/>
      </w:r>
      <w:r>
        <w:rPr>
          <w:rFonts w:hint="eastAsia" w:ascii="仿宋" w:hAnsi="仿宋" w:eastAsia="仿宋" w:cstheme="minorBidi"/>
          <w:color w:val="auto"/>
          <w:w w:val="80"/>
          <w:kern w:val="2"/>
          <w:sz w:val="24"/>
          <w:szCs w:val="24"/>
          <w:highlight w:val="none"/>
          <w:u w:val="none" w:color="auto"/>
        </w:rPr>
        <w:t>https://ecai.cofco.com/web-portal/index.html#/help/help-content。</w:t>
      </w:r>
      <w:r>
        <w:rPr>
          <w:rFonts w:hint="eastAsia" w:ascii="仿宋" w:hAnsi="仿宋" w:eastAsia="仿宋" w:cstheme="minorBidi"/>
          <w:color w:val="auto"/>
          <w:w w:val="80"/>
          <w:kern w:val="2"/>
          <w:sz w:val="24"/>
          <w:szCs w:val="24"/>
          <w:highlight w:val="none"/>
          <w:u w:val="none" w:color="auto"/>
        </w:rPr>
        <w:fldChar w:fldCharType="end"/>
      </w:r>
    </w:p>
    <w:p w14:paraId="406F2A10">
      <w:pPr>
        <w:widowControl/>
        <w:spacing w:line="480" w:lineRule="exact"/>
        <w:ind w:firstLine="240" w:firstLineChars="100"/>
        <w:jc w:val="left"/>
        <w:rPr>
          <w:rFonts w:hint="eastAsia" w:ascii="仿宋" w:hAnsi="仿宋" w:eastAsia="仿宋" w:cs="仿宋"/>
          <w:color w:val="auto"/>
          <w:sz w:val="24"/>
          <w:lang w:eastAsia="zh-CN"/>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lang w:val="en-US" w:eastAsia="zh-CN"/>
        </w:rPr>
        <w:t>开标地点：通过中粮E采供应链采购平台（网址：</w:t>
      </w:r>
      <w:r>
        <w:rPr>
          <w:rFonts w:hint="eastAsia" w:ascii="仿宋" w:hAnsi="仿宋" w:eastAsia="仿宋" w:cs="仿宋"/>
          <w:color w:val="auto"/>
          <w:sz w:val="24"/>
          <w:lang w:eastAsia="zh-CN"/>
        </w:rPr>
        <w:t>https://ecai.cofco.com/web-portal/index.html#/home）</w:t>
      </w:r>
      <w:r>
        <w:rPr>
          <w:rFonts w:hint="eastAsia" w:ascii="仿宋" w:hAnsi="仿宋" w:eastAsia="仿宋" w:cs="仿宋"/>
          <w:color w:val="auto"/>
          <w:sz w:val="24"/>
          <w:lang w:val="en-US" w:eastAsia="zh-CN"/>
        </w:rPr>
        <w:t>进入开标大厅进行远程线上开标。</w:t>
      </w:r>
    </w:p>
    <w:p w14:paraId="39635125">
      <w:pPr>
        <w:widowControl/>
        <w:spacing w:line="480" w:lineRule="exact"/>
        <w:ind w:firstLine="240" w:firstLineChars="100"/>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3.响应文件的递交：响应单位须在截止时间前将已进行电子签章（包括单位电子印章和法定代表人电子签名）且经过加密的电子投标文件通过电子交易平台成功递交，逾期上传或不符合规定的投标文件恕不接受（到开标时间投标人需使用CA证书进行解密）。</w:t>
      </w:r>
    </w:p>
    <w:p w14:paraId="1EC0C0B2">
      <w:pPr>
        <w:widowControl/>
        <w:spacing w:line="480" w:lineRule="exact"/>
        <w:ind w:firstLine="240" w:firstLineChars="100"/>
        <w:jc w:val="left"/>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4.对中选和未中选的单位将以公告的方式在中粮E采供应链采购平台发布，请参与响应的单位随时关注我公司发布的中选/成交公告。</w:t>
      </w:r>
    </w:p>
    <w:p w14:paraId="353A5874">
      <w:pPr>
        <w:widowControl/>
        <w:spacing w:line="480" w:lineRule="exact"/>
        <w:ind w:firstLine="240" w:firstLineChars="100"/>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5.本项目采用电子化采购，按要求加密上传并成功解密的响应文件为响应单位参与本项采购活动的法定依据。</w:t>
      </w:r>
    </w:p>
    <w:p w14:paraId="43A6F656">
      <w:pPr>
        <w:widowControl/>
        <w:spacing w:line="480" w:lineRule="exact"/>
        <w:ind w:firstLine="240" w:firstLineChars="100"/>
        <w:jc w:val="left"/>
        <w:rPr>
          <w:rFonts w:hint="eastAsia" w:ascii="仿宋" w:hAnsi="仿宋" w:eastAsia="仿宋" w:cstheme="minorBidi"/>
          <w:color w:val="auto"/>
          <w:w w:val="80"/>
          <w:kern w:val="2"/>
          <w:sz w:val="28"/>
          <w:szCs w:val="28"/>
          <w:highlight w:val="none"/>
          <w:u w:val="none" w:color="auto"/>
        </w:rPr>
      </w:pPr>
      <w:r>
        <w:rPr>
          <w:rFonts w:hint="eastAsia" w:ascii="仿宋" w:hAnsi="仿宋" w:eastAsia="仿宋" w:cs="仿宋"/>
          <w:color w:val="auto"/>
          <w:sz w:val="24"/>
          <w:lang w:val="en-US" w:eastAsia="zh-CN"/>
        </w:rPr>
        <w:t>6.发布媒体：本项目采购公告在中国招标投标公共服务平台</w:t>
      </w:r>
      <w:r>
        <w:rPr>
          <w:rFonts w:hint="eastAsia" w:ascii="仿宋" w:hAnsi="仿宋" w:eastAsia="仿宋" w:cstheme="minorBidi"/>
          <w:color w:val="auto"/>
          <w:w w:val="80"/>
          <w:kern w:val="2"/>
          <w:sz w:val="24"/>
          <w:szCs w:val="24"/>
          <w:highlight w:val="none"/>
          <w:u w:val="none" w:color="auto"/>
        </w:rPr>
        <w:t>（http://www.cebpubservice.com/</w:t>
      </w:r>
      <w:r>
        <w:rPr>
          <w:rFonts w:hint="eastAsia" w:ascii="仿宋" w:hAnsi="仿宋" w:eastAsia="仿宋" w:cstheme="minorBidi"/>
          <w:color w:val="auto"/>
          <w:w w:val="80"/>
          <w:kern w:val="2"/>
          <w:sz w:val="24"/>
          <w:szCs w:val="24"/>
          <w:highlight w:val="none"/>
          <w:u w:val="none" w:color="auto"/>
          <w:lang w:eastAsia="zh-CN"/>
        </w:rPr>
        <w:t>）</w:t>
      </w:r>
      <w:r>
        <w:rPr>
          <w:rFonts w:hint="eastAsia" w:ascii="仿宋" w:hAnsi="仿宋" w:eastAsia="仿宋" w:cstheme="minorBidi"/>
          <w:color w:val="auto"/>
          <w:w w:val="80"/>
          <w:kern w:val="2"/>
          <w:sz w:val="28"/>
          <w:szCs w:val="28"/>
          <w:highlight w:val="none"/>
          <w:u w:val="none" w:color="auto"/>
        </w:rPr>
        <w:t>，</w:t>
      </w:r>
      <w:r>
        <w:rPr>
          <w:rFonts w:hint="eastAsia" w:ascii="仿宋" w:hAnsi="仿宋" w:eastAsia="仿宋" w:cs="仿宋"/>
          <w:color w:val="auto"/>
          <w:sz w:val="24"/>
          <w:lang w:val="en-US" w:eastAsia="zh-CN"/>
        </w:rPr>
        <w:t>同时在中粮E采供应链采购平台（网址</w:t>
      </w:r>
      <w:r>
        <w:rPr>
          <w:rFonts w:hint="eastAsia" w:ascii="仿宋" w:hAnsi="仿宋" w:eastAsia="仿宋" w:cstheme="minorBidi"/>
          <w:color w:val="auto"/>
          <w:w w:val="80"/>
          <w:kern w:val="2"/>
          <w:sz w:val="24"/>
          <w:szCs w:val="24"/>
          <w:highlight w:val="none"/>
          <w:u w:val="none" w:color="auto"/>
        </w:rPr>
        <w:t>：https://ecai.cofco.com/web-portal/index.html#/home</w:t>
      </w:r>
      <w:r>
        <w:rPr>
          <w:rFonts w:hint="eastAsia" w:ascii="仿宋" w:hAnsi="仿宋" w:eastAsia="仿宋" w:cstheme="minorBidi"/>
          <w:color w:val="auto"/>
          <w:w w:val="80"/>
          <w:kern w:val="2"/>
          <w:sz w:val="28"/>
          <w:szCs w:val="28"/>
          <w:highlight w:val="none"/>
          <w:u w:val="none" w:color="auto"/>
        </w:rPr>
        <w:t>）</w:t>
      </w:r>
      <w:r>
        <w:rPr>
          <w:rFonts w:hint="eastAsia" w:ascii="仿宋" w:hAnsi="仿宋" w:eastAsia="仿宋" w:cs="仿宋"/>
          <w:color w:val="auto"/>
          <w:sz w:val="24"/>
          <w:lang w:val="en-US" w:eastAsia="zh-CN"/>
        </w:rPr>
        <w:t>上发布。</w:t>
      </w:r>
    </w:p>
    <w:p w14:paraId="77612E87">
      <w:pPr>
        <w:widowControl/>
        <w:spacing w:line="480" w:lineRule="exact"/>
        <w:jc w:val="left"/>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四、项目联系人及联系方式</w:t>
      </w:r>
    </w:p>
    <w:p w14:paraId="040F6981">
      <w:pPr>
        <w:widowControl/>
        <w:spacing w:line="480" w:lineRule="exact"/>
        <w:ind w:firstLine="240" w:firstLineChars="100"/>
        <w:jc w:val="left"/>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1.联系人：刘经理；</w:t>
      </w:r>
    </w:p>
    <w:p w14:paraId="64246C59">
      <w:pPr>
        <w:widowControl/>
        <w:spacing w:line="480" w:lineRule="exact"/>
        <w:ind w:firstLine="240" w:firstLineChars="100"/>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2.联系电话：13552247960。</w:t>
      </w:r>
    </w:p>
    <w:p w14:paraId="23F101EE">
      <w:pPr>
        <w:pStyle w:val="8"/>
        <w:keepNext w:val="0"/>
        <w:keepLines w:val="0"/>
        <w:widowControl/>
        <w:suppressLineNumbers w:val="0"/>
        <w:spacing w:before="0" w:beforeAutospacing="0" w:after="0" w:afterAutospacing="0"/>
        <w:ind w:left="0" w:right="0" w:firstLine="482" w:firstLineChars="200"/>
        <w:rPr>
          <w:rFonts w:hint="eastAsia" w:ascii="仿宋" w:hAnsi="仿宋" w:eastAsia="仿宋" w:cs="仿宋"/>
          <w:b/>
          <w:bCs/>
          <w:color w:val="auto"/>
          <w:sz w:val="24"/>
          <w:szCs w:val="24"/>
          <w:u w:val="none" w:color="auto"/>
          <w:lang w:val="en-US" w:eastAsia="zh-CN"/>
        </w:rPr>
      </w:pPr>
    </w:p>
    <w:p w14:paraId="6595F878">
      <w:pPr>
        <w:pStyle w:val="8"/>
        <w:keepNext w:val="0"/>
        <w:keepLines w:val="0"/>
        <w:widowControl/>
        <w:suppressLineNumbers w:val="0"/>
        <w:spacing w:before="0" w:beforeAutospacing="0" w:after="0" w:afterAutospacing="0"/>
        <w:ind w:left="0" w:right="0" w:firstLine="482" w:firstLineChars="200"/>
        <w:rPr>
          <w:rFonts w:hint="eastAsia" w:ascii="仿宋" w:hAnsi="仿宋" w:eastAsia="仿宋" w:cs="仿宋"/>
          <w:b/>
          <w:bCs/>
          <w:color w:val="auto"/>
          <w:sz w:val="24"/>
          <w:szCs w:val="24"/>
          <w:u w:val="none" w:color="auto"/>
          <w:lang w:val="en-US" w:eastAsia="zh-CN"/>
        </w:rPr>
      </w:pPr>
    </w:p>
    <w:p w14:paraId="18561937">
      <w:pPr>
        <w:pStyle w:val="8"/>
        <w:keepNext w:val="0"/>
        <w:keepLines w:val="0"/>
        <w:widowControl/>
        <w:suppressLineNumbers w:val="0"/>
        <w:spacing w:before="0" w:beforeAutospacing="0" w:after="0" w:afterAutospacing="0"/>
        <w:ind w:left="1928" w:right="0" w:hanging="1928" w:hangingChars="800"/>
        <w:rPr>
          <w:rFonts w:hint="eastAsia" w:ascii="仿宋" w:hAnsi="仿宋" w:eastAsia="仿宋" w:cs="仿宋"/>
          <w:b/>
          <w:bCs/>
          <w:color w:val="auto"/>
          <w:sz w:val="24"/>
          <w:szCs w:val="24"/>
          <w:u w:val="none" w:color="auto"/>
          <w:lang w:val="en-US" w:eastAsia="zh-CN"/>
        </w:rPr>
      </w:pPr>
      <w:r>
        <w:rPr>
          <w:rFonts w:hint="eastAsia" w:ascii="仿宋" w:hAnsi="仿宋" w:eastAsia="仿宋" w:cs="仿宋"/>
          <w:b/>
          <w:bCs/>
          <w:color w:val="auto"/>
          <w:sz w:val="24"/>
          <w:szCs w:val="24"/>
          <w:u w:val="none" w:color="auto"/>
          <w:lang w:val="en-US" w:eastAsia="zh-CN"/>
        </w:rPr>
        <w:t>具体要求详见：《2026年度中纺大厦燃气报警监测设备检验、标定服务项目竞价采购文件》内容。</w:t>
      </w:r>
    </w:p>
    <w:sectPr>
      <w:headerReference r:id="rId7" w:type="default"/>
      <w:footerReference r:id="rId8"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1F6DA">
    <w:pPr>
      <w:pStyle w:val="6"/>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6AF985">
                          <w:pPr>
                            <w:pStyle w:val="6"/>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55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016AF985">
                    <w:pPr>
                      <w:pStyle w:val="6"/>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55</w:t>
                    </w:r>
                    <w:r>
                      <w:fldChar w:fldCharType="end"/>
                    </w:r>
                  </w:p>
                </w:txbxContent>
              </v:textbox>
            </v:shape>
          </w:pict>
        </mc:Fallback>
      </mc:AlternateContent>
    </w:r>
  </w:p>
  <w:p w14:paraId="27E7E642">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A174FC">
    <w:pPr>
      <w:pStyle w:val="6"/>
      <w:framePr w:wrap="around" w:vAnchor="text" w:hAnchor="margin" w:xAlign="right" w:y="1"/>
      <w:rPr>
        <w:rStyle w:val="14"/>
      </w:rPr>
    </w:pPr>
    <w:r>
      <w:fldChar w:fldCharType="begin"/>
    </w:r>
    <w:r>
      <w:rPr>
        <w:rStyle w:val="14"/>
      </w:rPr>
      <w:instrText xml:space="preserve">PAGE  </w:instrText>
    </w:r>
    <w:r>
      <w:fldChar w:fldCharType="end"/>
    </w:r>
  </w:p>
  <w:p w14:paraId="5C11DD2F">
    <w:pPr>
      <w:pStyle w:val="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8BF66B">
    <w:pPr>
      <w:pStyle w:val="6"/>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E813FB">
                          <w:pPr>
                            <w:pStyle w:val="6"/>
                          </w:pPr>
                          <w:r>
                            <w:fldChar w:fldCharType="begin"/>
                          </w:r>
                          <w:r>
                            <w:instrText xml:space="preserve"> PAGE  \* MERGEFORMAT </w:instrText>
                          </w:r>
                          <w:r>
                            <w:fldChar w:fldCharType="separate"/>
                          </w:r>
                          <w:r>
                            <w:t>35</w:t>
                          </w:r>
                          <w:r>
                            <w:fldChar w:fldCharType="end"/>
                          </w:r>
                          <w:r>
                            <w:t xml:space="preserve"> / </w:t>
                          </w:r>
                          <w:r>
                            <w:fldChar w:fldCharType="begin"/>
                          </w:r>
                          <w:r>
                            <w:instrText xml:space="preserve"> NUMPAGES  \* MERGEFORMAT </w:instrText>
                          </w:r>
                          <w:r>
                            <w:fldChar w:fldCharType="separate"/>
                          </w:r>
                          <w:r>
                            <w:t>35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14:paraId="03E813FB">
                    <w:pPr>
                      <w:pStyle w:val="6"/>
                    </w:pPr>
                    <w:r>
                      <w:fldChar w:fldCharType="begin"/>
                    </w:r>
                    <w:r>
                      <w:instrText xml:space="preserve"> PAGE  \* MERGEFORMAT </w:instrText>
                    </w:r>
                    <w:r>
                      <w:fldChar w:fldCharType="separate"/>
                    </w:r>
                    <w:r>
                      <w:t>35</w:t>
                    </w:r>
                    <w:r>
                      <w:fldChar w:fldCharType="end"/>
                    </w:r>
                    <w:r>
                      <w:t xml:space="preserve"> / </w:t>
                    </w:r>
                    <w:r>
                      <w:fldChar w:fldCharType="begin"/>
                    </w:r>
                    <w:r>
                      <w:instrText xml:space="preserve"> NUMPAGES  \* MERGEFORMAT </w:instrText>
                    </w:r>
                    <w:r>
                      <w:fldChar w:fldCharType="separate"/>
                    </w:r>
                    <w:r>
                      <w:t>35</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3F0659"/>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413F0659"/>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916BE">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0E3D3C">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E2E1BA">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gwMzA3YmYwODk3NjYxYWFhZWZiMWNmOTljY2UwYTgifQ=="/>
  </w:docVars>
  <w:rsids>
    <w:rsidRoot w:val="000248ED"/>
    <w:rsid w:val="000248ED"/>
    <w:rsid w:val="000320BC"/>
    <w:rsid w:val="00042D98"/>
    <w:rsid w:val="00095A32"/>
    <w:rsid w:val="000C5D94"/>
    <w:rsid w:val="000D51CA"/>
    <w:rsid w:val="000E5955"/>
    <w:rsid w:val="000F6CEB"/>
    <w:rsid w:val="00105E48"/>
    <w:rsid w:val="00111AAD"/>
    <w:rsid w:val="00114535"/>
    <w:rsid w:val="001314DE"/>
    <w:rsid w:val="00161A20"/>
    <w:rsid w:val="00170883"/>
    <w:rsid w:val="00191BF4"/>
    <w:rsid w:val="001957CB"/>
    <w:rsid w:val="001C39CC"/>
    <w:rsid w:val="001C4C2B"/>
    <w:rsid w:val="001D19C9"/>
    <w:rsid w:val="001E1275"/>
    <w:rsid w:val="002005BB"/>
    <w:rsid w:val="00253D40"/>
    <w:rsid w:val="00274D98"/>
    <w:rsid w:val="00280632"/>
    <w:rsid w:val="002C6F82"/>
    <w:rsid w:val="002D51F5"/>
    <w:rsid w:val="002E41BC"/>
    <w:rsid w:val="00321604"/>
    <w:rsid w:val="003603D9"/>
    <w:rsid w:val="00361629"/>
    <w:rsid w:val="003729EB"/>
    <w:rsid w:val="00373A5A"/>
    <w:rsid w:val="003A12DF"/>
    <w:rsid w:val="00400BBC"/>
    <w:rsid w:val="004B1388"/>
    <w:rsid w:val="004D6FE1"/>
    <w:rsid w:val="004E07AE"/>
    <w:rsid w:val="004E4B95"/>
    <w:rsid w:val="004F1ABB"/>
    <w:rsid w:val="004F7086"/>
    <w:rsid w:val="0051249E"/>
    <w:rsid w:val="00536537"/>
    <w:rsid w:val="00564D5C"/>
    <w:rsid w:val="0057348B"/>
    <w:rsid w:val="005E719A"/>
    <w:rsid w:val="00631C8C"/>
    <w:rsid w:val="006431AE"/>
    <w:rsid w:val="00684ECA"/>
    <w:rsid w:val="00686B1D"/>
    <w:rsid w:val="00692F42"/>
    <w:rsid w:val="006970A5"/>
    <w:rsid w:val="006A2AE5"/>
    <w:rsid w:val="006D1CC5"/>
    <w:rsid w:val="00723073"/>
    <w:rsid w:val="007267ED"/>
    <w:rsid w:val="00736AE5"/>
    <w:rsid w:val="007726A7"/>
    <w:rsid w:val="0079122D"/>
    <w:rsid w:val="007A2063"/>
    <w:rsid w:val="007A535F"/>
    <w:rsid w:val="007D73C4"/>
    <w:rsid w:val="0083685A"/>
    <w:rsid w:val="00844114"/>
    <w:rsid w:val="0085240D"/>
    <w:rsid w:val="00853AA5"/>
    <w:rsid w:val="0085427B"/>
    <w:rsid w:val="00857F08"/>
    <w:rsid w:val="008623AE"/>
    <w:rsid w:val="008D1597"/>
    <w:rsid w:val="008E1D85"/>
    <w:rsid w:val="00983C7D"/>
    <w:rsid w:val="00987E3D"/>
    <w:rsid w:val="009A04DA"/>
    <w:rsid w:val="009C13EE"/>
    <w:rsid w:val="009C4C93"/>
    <w:rsid w:val="009E0F02"/>
    <w:rsid w:val="00A04E2A"/>
    <w:rsid w:val="00A151C1"/>
    <w:rsid w:val="00AD2273"/>
    <w:rsid w:val="00AD5D9C"/>
    <w:rsid w:val="00AF26B6"/>
    <w:rsid w:val="00AF47B9"/>
    <w:rsid w:val="00B1162B"/>
    <w:rsid w:val="00B16ABB"/>
    <w:rsid w:val="00B357BF"/>
    <w:rsid w:val="00BA2728"/>
    <w:rsid w:val="00BA6F2F"/>
    <w:rsid w:val="00BE10B2"/>
    <w:rsid w:val="00BE705C"/>
    <w:rsid w:val="00C24613"/>
    <w:rsid w:val="00C46A0B"/>
    <w:rsid w:val="00C501E3"/>
    <w:rsid w:val="00C77A91"/>
    <w:rsid w:val="00C83278"/>
    <w:rsid w:val="00CA2A6C"/>
    <w:rsid w:val="00CF3F88"/>
    <w:rsid w:val="00D20384"/>
    <w:rsid w:val="00D40258"/>
    <w:rsid w:val="00D55935"/>
    <w:rsid w:val="00D55FE5"/>
    <w:rsid w:val="00D6218B"/>
    <w:rsid w:val="00D76FBB"/>
    <w:rsid w:val="00DA3821"/>
    <w:rsid w:val="00E14687"/>
    <w:rsid w:val="00E41A3C"/>
    <w:rsid w:val="00E5099F"/>
    <w:rsid w:val="00E91968"/>
    <w:rsid w:val="00EB407B"/>
    <w:rsid w:val="00EE562D"/>
    <w:rsid w:val="00EE7F8B"/>
    <w:rsid w:val="00F0228D"/>
    <w:rsid w:val="00F16297"/>
    <w:rsid w:val="00F277AD"/>
    <w:rsid w:val="00F51001"/>
    <w:rsid w:val="00F912C8"/>
    <w:rsid w:val="01343E1F"/>
    <w:rsid w:val="02644C8A"/>
    <w:rsid w:val="0289774F"/>
    <w:rsid w:val="02E5725D"/>
    <w:rsid w:val="04642403"/>
    <w:rsid w:val="051200B1"/>
    <w:rsid w:val="05884C00"/>
    <w:rsid w:val="074F26CF"/>
    <w:rsid w:val="07A5520D"/>
    <w:rsid w:val="07BE1D77"/>
    <w:rsid w:val="093E1E40"/>
    <w:rsid w:val="095E6296"/>
    <w:rsid w:val="0A073F5D"/>
    <w:rsid w:val="0AF07215"/>
    <w:rsid w:val="0B5528D9"/>
    <w:rsid w:val="0CC003F3"/>
    <w:rsid w:val="0CC66FC2"/>
    <w:rsid w:val="0EDE1004"/>
    <w:rsid w:val="0EDE21AB"/>
    <w:rsid w:val="0EF55C4B"/>
    <w:rsid w:val="0FC216D1"/>
    <w:rsid w:val="10967DE9"/>
    <w:rsid w:val="10E94081"/>
    <w:rsid w:val="1291530D"/>
    <w:rsid w:val="13F015BE"/>
    <w:rsid w:val="14A02792"/>
    <w:rsid w:val="15767BD1"/>
    <w:rsid w:val="15930F75"/>
    <w:rsid w:val="167A7865"/>
    <w:rsid w:val="178A1C4D"/>
    <w:rsid w:val="18475E6C"/>
    <w:rsid w:val="185540E5"/>
    <w:rsid w:val="18F002B2"/>
    <w:rsid w:val="1B6A434C"/>
    <w:rsid w:val="1C3B11E3"/>
    <w:rsid w:val="1D594678"/>
    <w:rsid w:val="1E0345E3"/>
    <w:rsid w:val="24480FA2"/>
    <w:rsid w:val="24A82ED7"/>
    <w:rsid w:val="24F03E1D"/>
    <w:rsid w:val="26585A0C"/>
    <w:rsid w:val="270D082A"/>
    <w:rsid w:val="272432CF"/>
    <w:rsid w:val="27493473"/>
    <w:rsid w:val="291D29FD"/>
    <w:rsid w:val="2BC21BA1"/>
    <w:rsid w:val="2E0927F6"/>
    <w:rsid w:val="2F065A27"/>
    <w:rsid w:val="2FBE480E"/>
    <w:rsid w:val="319C292D"/>
    <w:rsid w:val="333F1E1F"/>
    <w:rsid w:val="337F6063"/>
    <w:rsid w:val="33BC0ADC"/>
    <w:rsid w:val="347D07F4"/>
    <w:rsid w:val="349877BE"/>
    <w:rsid w:val="34C226AB"/>
    <w:rsid w:val="35161146"/>
    <w:rsid w:val="36A21028"/>
    <w:rsid w:val="380D239D"/>
    <w:rsid w:val="384855BD"/>
    <w:rsid w:val="38641AED"/>
    <w:rsid w:val="3929719C"/>
    <w:rsid w:val="395D0BF4"/>
    <w:rsid w:val="39783C80"/>
    <w:rsid w:val="39D762C9"/>
    <w:rsid w:val="3B547DD5"/>
    <w:rsid w:val="3B69549E"/>
    <w:rsid w:val="3D2071FE"/>
    <w:rsid w:val="3E3C0EA7"/>
    <w:rsid w:val="42243B52"/>
    <w:rsid w:val="42B9763D"/>
    <w:rsid w:val="43560B8E"/>
    <w:rsid w:val="44C9538F"/>
    <w:rsid w:val="45F97EF6"/>
    <w:rsid w:val="46116D6E"/>
    <w:rsid w:val="46584965"/>
    <w:rsid w:val="46E4028D"/>
    <w:rsid w:val="46FA61CA"/>
    <w:rsid w:val="47C02A7A"/>
    <w:rsid w:val="48172B89"/>
    <w:rsid w:val="48212C49"/>
    <w:rsid w:val="48BF44BA"/>
    <w:rsid w:val="497445A3"/>
    <w:rsid w:val="4A02559C"/>
    <w:rsid w:val="4B152CAE"/>
    <w:rsid w:val="4B5C3543"/>
    <w:rsid w:val="4BA76B49"/>
    <w:rsid w:val="4BAC1AB0"/>
    <w:rsid w:val="4D9549A9"/>
    <w:rsid w:val="4DD16556"/>
    <w:rsid w:val="4DD728CB"/>
    <w:rsid w:val="4DDA685F"/>
    <w:rsid w:val="4E434405"/>
    <w:rsid w:val="4E4B67CB"/>
    <w:rsid w:val="4EEF37B1"/>
    <w:rsid w:val="4F6E3746"/>
    <w:rsid w:val="50C515CD"/>
    <w:rsid w:val="51051E45"/>
    <w:rsid w:val="51183927"/>
    <w:rsid w:val="519D6744"/>
    <w:rsid w:val="522B58DB"/>
    <w:rsid w:val="53171367"/>
    <w:rsid w:val="53277E51"/>
    <w:rsid w:val="532E5683"/>
    <w:rsid w:val="54AF45A2"/>
    <w:rsid w:val="56905D0D"/>
    <w:rsid w:val="56F26561"/>
    <w:rsid w:val="57F43204"/>
    <w:rsid w:val="58155B5A"/>
    <w:rsid w:val="59897F18"/>
    <w:rsid w:val="5C8C6F77"/>
    <w:rsid w:val="5E411A7A"/>
    <w:rsid w:val="5EFD6E06"/>
    <w:rsid w:val="60BE7ED2"/>
    <w:rsid w:val="61DE64C6"/>
    <w:rsid w:val="636B1FDC"/>
    <w:rsid w:val="640970FF"/>
    <w:rsid w:val="64414AEB"/>
    <w:rsid w:val="6472739A"/>
    <w:rsid w:val="67A55102"/>
    <w:rsid w:val="695E1C9B"/>
    <w:rsid w:val="69B174A7"/>
    <w:rsid w:val="69DA12FC"/>
    <w:rsid w:val="6A682DD1"/>
    <w:rsid w:val="6A6E2AA9"/>
    <w:rsid w:val="6AED11C9"/>
    <w:rsid w:val="6B2D1F78"/>
    <w:rsid w:val="6B862B01"/>
    <w:rsid w:val="6BAA4815"/>
    <w:rsid w:val="6BB34520"/>
    <w:rsid w:val="6D800432"/>
    <w:rsid w:val="6EFA2507"/>
    <w:rsid w:val="6F19189B"/>
    <w:rsid w:val="71D7083C"/>
    <w:rsid w:val="73551DFB"/>
    <w:rsid w:val="74273CFD"/>
    <w:rsid w:val="7481562B"/>
    <w:rsid w:val="7530098F"/>
    <w:rsid w:val="75880263"/>
    <w:rsid w:val="75932CCC"/>
    <w:rsid w:val="763829FD"/>
    <w:rsid w:val="77B27D81"/>
    <w:rsid w:val="79BC259C"/>
    <w:rsid w:val="79E33D49"/>
    <w:rsid w:val="7BD84385"/>
    <w:rsid w:val="7C9A604E"/>
    <w:rsid w:val="7D796C4C"/>
    <w:rsid w:val="7E2D6371"/>
    <w:rsid w:val="7E5B6092"/>
    <w:rsid w:val="7FDE73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autoRedefine/>
    <w:qFormat/>
    <w:uiPriority w:val="9"/>
    <w:pPr>
      <w:widowControl/>
      <w:spacing w:before="100" w:beforeAutospacing="1" w:after="100" w:afterAutospacing="1"/>
      <w:jc w:val="left"/>
      <w:outlineLvl w:val="0"/>
    </w:pPr>
    <w:rPr>
      <w:rFonts w:ascii="宋体" w:hAnsi="宋体"/>
      <w:b/>
      <w:bCs/>
      <w:kern w:val="36"/>
      <w:sz w:val="48"/>
      <w:szCs w:val="4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link w:val="19"/>
    <w:autoRedefine/>
    <w:qFormat/>
    <w:uiPriority w:val="0"/>
    <w:pPr>
      <w:spacing w:after="120"/>
    </w:pPr>
    <w:rPr>
      <w:rFonts w:ascii="Calibri" w:hAnsi="Calibri" w:eastAsia="宋体" w:cs="Times New Roman"/>
      <w:szCs w:val="24"/>
    </w:rPr>
  </w:style>
  <w:style w:type="paragraph" w:styleId="4">
    <w:name w:val="Body Text Indent"/>
    <w:basedOn w:val="1"/>
    <w:unhideWhenUsed/>
    <w:qFormat/>
    <w:uiPriority w:val="99"/>
    <w:pPr>
      <w:spacing w:after="120"/>
      <w:ind w:left="420" w:leftChars="200"/>
    </w:pPr>
  </w:style>
  <w:style w:type="paragraph" w:styleId="5">
    <w:name w:val="Plain Text"/>
    <w:basedOn w:val="1"/>
    <w:link w:val="20"/>
    <w:autoRedefine/>
    <w:qFormat/>
    <w:uiPriority w:val="99"/>
    <w:rPr>
      <w:rFonts w:ascii="宋体" w:hAnsi="Courier New" w:eastAsia="宋体" w:cs="Times New Roman"/>
      <w:szCs w:val="21"/>
    </w:rPr>
  </w:style>
  <w:style w:type="paragraph" w:styleId="6">
    <w:name w:val="footer"/>
    <w:basedOn w:val="1"/>
    <w:link w:val="18"/>
    <w:autoRedefine/>
    <w:unhideWhenUsed/>
    <w:qFormat/>
    <w:uiPriority w:val="99"/>
    <w:pPr>
      <w:tabs>
        <w:tab w:val="center" w:pos="4153"/>
        <w:tab w:val="right" w:pos="8306"/>
      </w:tabs>
      <w:snapToGrid w:val="0"/>
      <w:jc w:val="left"/>
    </w:pPr>
    <w:rPr>
      <w:sz w:val="18"/>
      <w:szCs w:val="18"/>
    </w:rPr>
  </w:style>
  <w:style w:type="paragraph" w:styleId="7">
    <w:name w:val="header"/>
    <w:basedOn w:val="1"/>
    <w:link w:val="1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9">
    <w:name w:val="Body Text First Indent"/>
    <w:basedOn w:val="3"/>
    <w:autoRedefine/>
    <w:unhideWhenUsed/>
    <w:qFormat/>
    <w:uiPriority w:val="99"/>
    <w:pPr>
      <w:ind w:firstLine="420" w:firstLineChars="100"/>
    </w:pPr>
  </w:style>
  <w:style w:type="paragraph" w:styleId="10">
    <w:name w:val="Body Text First Indent 2"/>
    <w:basedOn w:val="4"/>
    <w:unhideWhenUsed/>
    <w:qFormat/>
    <w:uiPriority w:val="99"/>
    <w:pPr>
      <w:ind w:firstLine="420" w:firstLineChars="200"/>
    </w:pPr>
  </w:style>
  <w:style w:type="table" w:styleId="12">
    <w:name w:val="Table Grid"/>
    <w:basedOn w:val="11"/>
    <w:autoRedefine/>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autoRedefine/>
    <w:qFormat/>
    <w:uiPriority w:val="0"/>
    <w:rPr>
      <w:rFonts w:cs="Times New Roman"/>
    </w:rPr>
  </w:style>
  <w:style w:type="character" w:styleId="15">
    <w:name w:val="Emphasis"/>
    <w:autoRedefine/>
    <w:qFormat/>
    <w:uiPriority w:val="0"/>
    <w:rPr>
      <w:i/>
      <w:iCs/>
    </w:rPr>
  </w:style>
  <w:style w:type="paragraph" w:customStyle="1" w:styleId="16">
    <w:name w:val="_正文"/>
    <w:qFormat/>
    <w:uiPriority w:val="0"/>
    <w:rPr>
      <w:rFonts w:ascii="Times New Roman" w:hAnsi="Times New Roman" w:eastAsia="宋体" w:cs="Times New Roman"/>
      <w:kern w:val="0"/>
      <w:sz w:val="20"/>
      <w:szCs w:val="24"/>
      <w:lang w:val="en-US" w:eastAsia="zh-CN" w:bidi="ar-SA"/>
    </w:rPr>
  </w:style>
  <w:style w:type="character" w:customStyle="1" w:styleId="17">
    <w:name w:val="页眉 字符"/>
    <w:basedOn w:val="13"/>
    <w:link w:val="7"/>
    <w:autoRedefine/>
    <w:qFormat/>
    <w:uiPriority w:val="99"/>
    <w:rPr>
      <w:sz w:val="18"/>
      <w:szCs w:val="18"/>
    </w:rPr>
  </w:style>
  <w:style w:type="character" w:customStyle="1" w:styleId="18">
    <w:name w:val="页脚 字符"/>
    <w:basedOn w:val="13"/>
    <w:link w:val="6"/>
    <w:autoRedefine/>
    <w:qFormat/>
    <w:uiPriority w:val="99"/>
    <w:rPr>
      <w:sz w:val="18"/>
      <w:szCs w:val="18"/>
    </w:rPr>
  </w:style>
  <w:style w:type="character" w:customStyle="1" w:styleId="19">
    <w:name w:val="正文文本 字符"/>
    <w:basedOn w:val="13"/>
    <w:link w:val="3"/>
    <w:autoRedefine/>
    <w:qFormat/>
    <w:uiPriority w:val="0"/>
    <w:rPr>
      <w:rFonts w:ascii="Calibri" w:hAnsi="Calibri" w:eastAsia="宋体" w:cs="Times New Roman"/>
      <w:szCs w:val="24"/>
    </w:rPr>
  </w:style>
  <w:style w:type="character" w:customStyle="1" w:styleId="20">
    <w:name w:val="纯文本 字符"/>
    <w:basedOn w:val="13"/>
    <w:link w:val="5"/>
    <w:autoRedefine/>
    <w:qFormat/>
    <w:uiPriority w:val="99"/>
    <w:rPr>
      <w:rFonts w:ascii="宋体" w:hAnsi="Courier New" w:eastAsia="宋体" w:cs="Times New Roman"/>
      <w:szCs w:val="21"/>
    </w:rPr>
  </w:style>
  <w:style w:type="paragraph" w:styleId="21">
    <w:name w:val="List Paragraph"/>
    <w:basedOn w:val="1"/>
    <w:autoRedefine/>
    <w:qFormat/>
    <w:uiPriority w:val="99"/>
    <w:pPr>
      <w:ind w:firstLine="420" w:firstLineChars="200"/>
    </w:pPr>
  </w:style>
  <w:style w:type="character" w:customStyle="1" w:styleId="22">
    <w:name w:val="font11"/>
    <w:basedOn w:val="13"/>
    <w:autoRedefine/>
    <w:qFormat/>
    <w:uiPriority w:val="0"/>
    <w:rPr>
      <w:rFonts w:hint="eastAsia" w:ascii="宋体" w:hAnsi="宋体" w:eastAsia="宋体" w:cs="宋体"/>
      <w:color w:val="000000"/>
      <w:sz w:val="32"/>
      <w:szCs w:val="32"/>
      <w:u w:val="none"/>
    </w:rPr>
  </w:style>
  <w:style w:type="character" w:customStyle="1" w:styleId="23">
    <w:name w:val="font41"/>
    <w:basedOn w:val="13"/>
    <w:autoRedefine/>
    <w:qFormat/>
    <w:uiPriority w:val="0"/>
    <w:rPr>
      <w:rFonts w:ascii="黑体" w:hAnsi="宋体" w:eastAsia="黑体" w:cs="黑体"/>
      <w:b/>
      <w:bCs/>
      <w:color w:val="000000"/>
      <w:sz w:val="32"/>
      <w:szCs w:val="32"/>
      <w:u w:val="none"/>
    </w:rPr>
  </w:style>
  <w:style w:type="table" w:customStyle="1" w:styleId="24">
    <w:name w:val="Table Normal"/>
    <w:autoRedefine/>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25">
    <w:name w:val="Table Text"/>
    <w:basedOn w:val="1"/>
    <w:autoRedefine/>
    <w:semiHidden/>
    <w:qFormat/>
    <w:uiPriority w:val="0"/>
    <w:rPr>
      <w:rFonts w:ascii="宋体" w:hAnsi="宋体" w:eastAsia="宋体" w:cs="宋体"/>
      <w:sz w:val="20"/>
      <w:szCs w:val="20"/>
      <w:lang w:eastAsia="en-US"/>
    </w:rPr>
  </w:style>
  <w:style w:type="character" w:customStyle="1" w:styleId="26">
    <w:name w:val="main_tdbg_760"/>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1061</Words>
  <Characters>1543</Characters>
  <Lines>126</Lines>
  <Paragraphs>35</Paragraphs>
  <TotalTime>0</TotalTime>
  <ScaleCrop>false</ScaleCrop>
  <LinksUpToDate>false</LinksUpToDate>
  <CharactersWithSpaces>1545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2024-03-07T06:58:00Z</dcterms:created>
  <dc:creator>admin</dc:creator>
  <cp:lastModifiedBy>国庆</cp:lastModifiedBy>
  <dcterms:modified xsi:type="dcterms:W3CDTF">2025-12-08T02:55:24Z</dcterms:modified>
  <cp:revision>190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FDC046FEB0F3485192F40F571F1D47B2_12</vt:lpwstr>
  </property>
  <property fmtid="{D5CDD505-2E9C-101B-9397-08002B2CF9AE}" pid="4" name="KSOTemplateDocerSaveRecord">
    <vt:lpwstr>eyJoZGlkIjoiNjJhMGVkYWFkNzc3NTQyNmU3OWUxODU4OGNkZmVjOWEiLCJ1c2VySWQiOiI0NTg2NTk5OTgifQ==</vt:lpwstr>
  </property>
</Properties>
</file>