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0.6 -->
  <w:body>
    <w:p>
      <w:pPr>
        <w:shd w:val="clear" w:color="auto" w:fill="FFFFFF"/>
        <w:spacing w:beforeAutospacing="0" w:afterAutospacing="0" w:line="360" w:lineRule="auto"/>
        <w:ind w:firstLine="560"/>
        <w:rPr>
          <w:rFonts w:ascii="宋体" w:hAnsi="宋体"/>
          <w:color w:val="333333"/>
          <w:sz w:val="28"/>
        </w:rPr>
      </w:pPr>
      <w:bookmarkStart w:id="0" w:name="OLE_LINK1"/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一、安徽省招标集团股份有限公司受</w:t>
      </w:r>
      <w:r>
        <w:rPr>
          <w:rFonts w:ascii="宋体" w:hAnsi="宋体"/>
          <w:color w:val="333333"/>
          <w:sz w:val="28"/>
          <w:lang w:eastAsia="zh-CN"/>
        </w:rPr>
        <w:t>中粮生物科技股份有限公司</w:t>
      </w:r>
      <w:r>
        <w:rPr>
          <w:rFonts w:ascii="宋体" w:hAnsi="宋体"/>
          <w:color w:val="333333"/>
          <w:sz w:val="28"/>
        </w:rPr>
        <w:t>委托，就其</w:t>
      </w:r>
      <w:r>
        <w:rPr>
          <w:rFonts w:ascii="宋体" w:hAnsi="宋体"/>
          <w:color w:val="333333"/>
          <w:sz w:val="28"/>
          <w:lang w:eastAsia="zh-CN"/>
        </w:rPr>
        <w:t>中粮生物科技安徽管理公司4台钢板仓新建项目工程设计</w:t>
      </w:r>
      <w:r>
        <w:rPr>
          <w:rFonts w:ascii="宋体" w:hAnsi="宋体"/>
          <w:color w:val="333333"/>
          <w:sz w:val="28"/>
        </w:rPr>
        <w:t>进行公开招标。本项目于202</w:t>
      </w:r>
      <w:r>
        <w:rPr>
          <w:rFonts w:ascii="宋体" w:hAnsi="宋体"/>
          <w:color w:val="333333"/>
          <w:sz w:val="28"/>
          <w:lang w:val="en-US" w:eastAsia="zh-CN"/>
        </w:rPr>
        <w:t>5</w:t>
      </w:r>
      <w:r>
        <w:rPr>
          <w:rFonts w:ascii="宋体" w:hAnsi="宋体"/>
          <w:color w:val="333333"/>
          <w:sz w:val="28"/>
        </w:rPr>
        <w:t>年</w:t>
      </w:r>
      <w:r>
        <w:rPr>
          <w:rFonts w:ascii="宋体" w:hAnsi="宋体"/>
          <w:color w:val="333333"/>
          <w:sz w:val="28"/>
          <w:lang w:val="en-US" w:eastAsia="zh-CN"/>
        </w:rPr>
        <w:t>7</w:t>
      </w:r>
      <w:r>
        <w:rPr>
          <w:rFonts w:ascii="宋体" w:hAnsi="宋体"/>
          <w:color w:val="333333"/>
          <w:sz w:val="28"/>
        </w:rPr>
        <w:t>月</w:t>
      </w:r>
      <w:r>
        <w:rPr>
          <w:rFonts w:ascii="宋体" w:hAnsi="宋体"/>
          <w:color w:val="333333"/>
          <w:sz w:val="28"/>
          <w:lang w:val="en-US" w:eastAsia="zh-CN"/>
        </w:rPr>
        <w:t>15</w:t>
      </w:r>
      <w:r>
        <w:rPr>
          <w:rFonts w:ascii="宋体" w:hAnsi="宋体"/>
          <w:color w:val="333333"/>
          <w:sz w:val="28"/>
        </w:rPr>
        <w:t>日9时30分，在安徽省招标集团股份有限公司公开开标，经评标委员会评审，现将评标结果公示如下：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eastAsia="zh-CN"/>
        </w:rPr>
      </w:pPr>
      <w:r>
        <w:rPr>
          <w:rFonts w:ascii="宋体" w:hAnsi="宋体"/>
          <w:color w:val="333333"/>
          <w:sz w:val="28"/>
        </w:rPr>
        <w:t>1、项目名称：</w:t>
      </w:r>
      <w:r>
        <w:rPr>
          <w:rFonts w:ascii="宋体" w:hAnsi="宋体"/>
          <w:color w:val="333333"/>
          <w:sz w:val="28"/>
          <w:lang w:eastAsia="zh-CN"/>
        </w:rPr>
        <w:t>中粮生物科技安徽管理公司4台钢板仓新建项目工程设计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2、招标编号：GN2025-01-4180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3、招标主要内容：</w:t>
      </w:r>
      <w:r>
        <w:rPr>
          <w:rFonts w:ascii="宋体" w:hAnsi="宋体"/>
          <w:color w:val="333333"/>
          <w:sz w:val="28"/>
          <w:lang w:eastAsia="zh-CN"/>
        </w:rPr>
        <w:t>中粮生物科技安徽管理公司4台钢板仓新建项目工程设计</w:t>
      </w:r>
      <w:r>
        <w:rPr>
          <w:rFonts w:ascii="宋体" w:hAnsi="宋体"/>
          <w:color w:val="333333"/>
          <w:sz w:val="28"/>
        </w:rPr>
        <w:t>，</w:t>
      </w:r>
      <w:r>
        <w:rPr>
          <w:rFonts w:ascii="宋体" w:hAnsi="宋体"/>
          <w:color w:val="333333"/>
          <w:sz w:val="28"/>
          <w:lang w:val="en-US" w:eastAsia="zh-CN"/>
        </w:rPr>
        <w:t>具体内容</w:t>
      </w:r>
      <w:r>
        <w:rPr>
          <w:rFonts w:ascii="宋体" w:hAnsi="宋体"/>
          <w:color w:val="333333"/>
          <w:sz w:val="28"/>
        </w:rPr>
        <w:t>详见招标文件。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4、第一中标候选人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</w:rPr>
        <w:t>投标人名称：中粮工科（西安）国际工程有限公司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</w:rPr>
        <w:t>综合得分：</w:t>
      </w:r>
      <w:r>
        <w:rPr>
          <w:rFonts w:ascii="宋体" w:hAnsi="宋体"/>
          <w:color w:val="333333"/>
          <w:sz w:val="28"/>
          <w:lang w:val="en-US" w:eastAsia="zh-CN"/>
        </w:rPr>
        <w:t>87.50</w:t>
      </w:r>
      <w:r>
        <w:rPr>
          <w:rFonts w:ascii="宋体" w:hAnsi="宋体"/>
          <w:color w:val="333333"/>
          <w:sz w:val="28"/>
        </w:rPr>
        <w:t>分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投标总价：</w:t>
      </w:r>
      <w:r>
        <w:rPr>
          <w:rFonts w:ascii="宋体" w:hAnsi="宋体"/>
          <w:color w:val="333333"/>
          <w:sz w:val="28"/>
          <w:lang w:val="en-US" w:eastAsia="zh-CN"/>
        </w:rPr>
        <w:t>585000.00</w:t>
      </w:r>
      <w:r>
        <w:rPr>
          <w:rFonts w:ascii="宋体" w:hAnsi="宋体"/>
          <w:color w:val="333333"/>
          <w:sz w:val="28"/>
        </w:rPr>
        <w:t>元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  <w:lang w:val="en-US" w:eastAsia="zh-CN"/>
        </w:rPr>
        <w:t>服务周期：（1）初步设计：合同生效之日起20天内（日历天），交付初步设计文件并通过审查；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  <w:lang w:val="en-US" w:eastAsia="zh-CN"/>
        </w:rPr>
        <w:t>（2）施工图设计：初步设计文件审查合格之日起15天内（日历天），交付施工图设计文件、工程量清单和控制价并通过审查。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  <w:lang w:eastAsia="zh-CN"/>
        </w:rPr>
        <w:t>质量标准:</w:t>
      </w:r>
      <w:r>
        <w:rPr>
          <w:rFonts w:ascii="宋体" w:hAnsi="宋体"/>
          <w:color w:val="333333"/>
          <w:sz w:val="28"/>
          <w:lang w:val="en-US" w:eastAsia="zh-CN"/>
        </w:rPr>
        <w:t>满足招标文件要求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</w:rPr>
        <w:t>资质等级：</w:t>
      </w:r>
      <w:r>
        <w:rPr>
          <w:rFonts w:ascii="宋体" w:hAnsi="宋体"/>
          <w:color w:val="333333"/>
          <w:sz w:val="28"/>
          <w:lang w:val="en-US" w:eastAsia="zh-CN"/>
        </w:rPr>
        <w:t>工程设计商务粮行业（粮食工程）专业甲级资质和建筑行业（建筑工程）专业乙级资质</w:t>
      </w:r>
    </w:p>
    <w:p>
      <w:pPr>
        <w:keepNext w:val="0"/>
        <w:keepLines w:val="0"/>
        <w:widowControl/>
        <w:shd w:val="clear" w:color="auto" w:fill="FFFFFF"/>
        <w:bidi w:val="0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  <w:lang w:val="en-US" w:eastAsia="zh-CN"/>
        </w:rPr>
        <w:t>设计负责人</w:t>
      </w:r>
      <w:r>
        <w:rPr>
          <w:rFonts w:ascii="宋体" w:hAnsi="宋体"/>
          <w:color w:val="333333"/>
          <w:sz w:val="28"/>
        </w:rPr>
        <w:t>：</w:t>
      </w:r>
      <w:r>
        <w:rPr>
          <w:rFonts w:ascii="宋体" w:hAnsi="宋体"/>
          <w:color w:val="333333"/>
          <w:sz w:val="28"/>
          <w:lang w:val="en-US" w:eastAsia="zh-CN"/>
        </w:rPr>
        <w:t>赵力玄</w:t>
      </w:r>
      <w:r>
        <w:rPr>
          <w:rFonts w:ascii="宋体" w:hAnsi="宋体"/>
          <w:color w:val="333333"/>
          <w:sz w:val="28"/>
          <w:lang w:eastAsia="zh-CN"/>
        </w:rPr>
        <w:t>，</w:t>
      </w:r>
      <w:r>
        <w:rPr>
          <w:rFonts w:ascii="宋体" w:hAnsi="宋体"/>
          <w:color w:val="333333"/>
          <w:sz w:val="28"/>
          <w:lang w:val="en-US" w:eastAsia="zh-CN"/>
        </w:rPr>
        <w:t>一级注册建筑师</w:t>
      </w:r>
      <w:r>
        <w:rPr>
          <w:rFonts w:ascii="宋体" w:hAnsi="宋体"/>
          <w:color w:val="333333"/>
          <w:sz w:val="28"/>
          <w:lang w:eastAsia="zh-CN"/>
        </w:rPr>
        <w:t>，</w:t>
      </w:r>
      <w:r>
        <w:rPr>
          <w:rFonts w:ascii="宋体" w:hAnsi="宋体"/>
          <w:color w:val="333333"/>
          <w:sz w:val="28"/>
          <w:lang w:val="en-US" w:eastAsia="zh-CN"/>
        </w:rPr>
        <w:t>注册编号</w:t>
      </w:r>
      <w:r>
        <w:rPr>
          <w:rFonts w:ascii="宋体" w:hAnsi="宋体"/>
          <w:color w:val="333333"/>
          <w:sz w:val="28"/>
        </w:rPr>
        <w:t>：</w:t>
      </w:r>
      <w:r>
        <w:rPr>
          <w:rFonts w:ascii="宋体" w:hAnsi="宋体"/>
          <w:color w:val="333333"/>
          <w:sz w:val="28"/>
          <w:lang w:val="en-US" w:eastAsia="zh-CN"/>
        </w:rPr>
        <w:t>20246101792</w:t>
      </w:r>
    </w:p>
    <w:p>
      <w:pPr>
        <w:keepNext w:val="0"/>
        <w:keepLines w:val="0"/>
        <w:widowControl/>
        <w:shd w:val="clear" w:color="auto" w:fill="FFFFFF"/>
        <w:bidi w:val="0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  <w:lang w:val="en-US" w:eastAsia="zh-CN"/>
        </w:rPr>
        <w:t>企业资格业绩：国励(西北)粮油科技产业园项目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  <w:lang w:val="en-US" w:eastAsia="zh-CN"/>
        </w:rPr>
        <w:t>5</w:t>
      </w:r>
      <w:r>
        <w:rPr>
          <w:rFonts w:ascii="宋体" w:hAnsi="宋体"/>
          <w:color w:val="333333"/>
          <w:sz w:val="28"/>
        </w:rPr>
        <w:t>、第</w:t>
      </w:r>
      <w:r>
        <w:rPr>
          <w:rFonts w:ascii="宋体" w:hAnsi="宋体"/>
          <w:color w:val="333333"/>
          <w:sz w:val="28"/>
          <w:lang w:val="en-US" w:eastAsia="zh-CN"/>
        </w:rPr>
        <w:t>二</w:t>
      </w:r>
      <w:r>
        <w:rPr>
          <w:rFonts w:ascii="宋体" w:hAnsi="宋体"/>
          <w:color w:val="333333"/>
          <w:sz w:val="28"/>
        </w:rPr>
        <w:t>中标候选人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</w:rPr>
        <w:t>投标人名称：</w:t>
      </w:r>
      <w:r>
        <w:rPr>
          <w:rFonts w:ascii="宋体" w:hAnsi="宋体"/>
          <w:color w:val="333333"/>
          <w:sz w:val="28"/>
          <w:lang w:val="en-US" w:eastAsia="zh-CN"/>
        </w:rPr>
        <w:t>中裕工程集团有限公司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</w:rPr>
        <w:t>综合得分：</w:t>
      </w:r>
      <w:r>
        <w:rPr>
          <w:rFonts w:ascii="宋体" w:hAnsi="宋体"/>
          <w:color w:val="333333"/>
          <w:sz w:val="28"/>
          <w:lang w:val="en-US" w:eastAsia="zh-CN"/>
        </w:rPr>
        <w:t>82.15</w:t>
      </w:r>
      <w:r>
        <w:rPr>
          <w:rFonts w:ascii="宋体" w:hAnsi="宋体"/>
          <w:color w:val="333333"/>
          <w:sz w:val="28"/>
        </w:rPr>
        <w:t>分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投标总价：</w:t>
      </w:r>
      <w:r>
        <w:rPr>
          <w:rFonts w:ascii="宋体" w:hAnsi="宋体"/>
          <w:color w:val="333333"/>
          <w:sz w:val="28"/>
          <w:lang w:val="en-US" w:eastAsia="zh-CN"/>
        </w:rPr>
        <w:t>368000.00</w:t>
      </w:r>
      <w:r>
        <w:rPr>
          <w:rFonts w:ascii="宋体" w:hAnsi="宋体"/>
          <w:color w:val="333333"/>
          <w:sz w:val="28"/>
        </w:rPr>
        <w:t>元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  <w:lang w:val="en-US" w:eastAsia="zh-CN"/>
        </w:rPr>
        <w:t>服务周期：（1）初步设计：合同生效之日起25天内（日历天），交付初步设计文件并通过审查；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  <w:lang w:val="en-US" w:eastAsia="zh-CN"/>
        </w:rPr>
        <w:t>（2）施工图设计：初步设计文件审查合格之日起15天内（日历天），交付施工图设计文件、工程量清单和控制价并通过审查。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  <w:lang w:eastAsia="zh-CN"/>
        </w:rPr>
        <w:t>质量</w:t>
      </w:r>
      <w:r>
        <w:rPr>
          <w:rFonts w:ascii="宋体" w:hAnsi="宋体"/>
          <w:color w:val="333333"/>
          <w:sz w:val="28"/>
          <w:lang w:val="en-US" w:eastAsia="zh-CN"/>
        </w:rPr>
        <w:t>标准</w:t>
      </w:r>
      <w:r>
        <w:rPr>
          <w:rFonts w:ascii="宋体" w:hAnsi="宋体"/>
          <w:color w:val="333333"/>
          <w:sz w:val="28"/>
          <w:lang w:eastAsia="zh-CN"/>
        </w:rPr>
        <w:t>:</w:t>
      </w:r>
      <w:r>
        <w:rPr>
          <w:rFonts w:ascii="宋体" w:hAnsi="宋体"/>
          <w:color w:val="333333"/>
          <w:sz w:val="28"/>
          <w:lang w:val="en-US" w:eastAsia="zh-CN"/>
        </w:rPr>
        <w:t>满足招标文件要求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</w:rPr>
        <w:t>资质等级：工程设计商务粮行业（粮食工程）专业甲级</w:t>
      </w:r>
      <w:r>
        <w:rPr>
          <w:rFonts w:ascii="宋体" w:hAnsi="宋体"/>
          <w:color w:val="333333"/>
          <w:sz w:val="28"/>
          <w:lang w:val="en-US" w:eastAsia="zh-CN"/>
        </w:rPr>
        <w:t>资质</w:t>
      </w:r>
      <w:r>
        <w:rPr>
          <w:rFonts w:ascii="宋体" w:hAnsi="宋体"/>
          <w:color w:val="333333"/>
          <w:sz w:val="28"/>
        </w:rPr>
        <w:t>和建筑行业（建筑工程）专业</w:t>
      </w:r>
      <w:r>
        <w:rPr>
          <w:rFonts w:ascii="宋体" w:hAnsi="宋体"/>
          <w:color w:val="333333"/>
          <w:sz w:val="28"/>
          <w:lang w:val="en-US" w:eastAsia="zh-CN"/>
        </w:rPr>
        <w:t>甲</w:t>
      </w:r>
      <w:r>
        <w:rPr>
          <w:rFonts w:ascii="宋体" w:hAnsi="宋体"/>
          <w:color w:val="333333"/>
          <w:sz w:val="28"/>
        </w:rPr>
        <w:t>级资质</w:t>
      </w:r>
    </w:p>
    <w:p>
      <w:pPr>
        <w:keepNext w:val="0"/>
        <w:keepLines w:val="0"/>
        <w:widowControl/>
        <w:shd w:val="clear" w:color="auto" w:fill="FFFFFF"/>
        <w:bidi w:val="0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  <w:lang w:val="en-US" w:eastAsia="zh-CN"/>
        </w:rPr>
        <w:t>项目经理</w:t>
      </w:r>
      <w:r>
        <w:rPr>
          <w:rFonts w:ascii="宋体" w:hAnsi="宋体"/>
          <w:color w:val="333333"/>
          <w:sz w:val="28"/>
        </w:rPr>
        <w:t>：</w:t>
      </w:r>
      <w:r>
        <w:rPr>
          <w:rFonts w:ascii="宋体" w:hAnsi="宋体"/>
          <w:color w:val="333333"/>
          <w:sz w:val="28"/>
          <w:lang w:val="en-US" w:eastAsia="zh-CN"/>
        </w:rPr>
        <w:t>于崇</w:t>
      </w:r>
      <w:r>
        <w:rPr>
          <w:rFonts w:ascii="宋体" w:hAnsi="宋体"/>
          <w:color w:val="333333"/>
          <w:sz w:val="28"/>
          <w:lang w:eastAsia="zh-CN"/>
        </w:rPr>
        <w:t>，一级注册建筑师，</w:t>
      </w:r>
      <w:r>
        <w:rPr>
          <w:rFonts w:ascii="宋体" w:hAnsi="宋体"/>
          <w:color w:val="333333"/>
          <w:sz w:val="28"/>
          <w:lang w:val="en-US" w:eastAsia="zh-CN"/>
        </w:rPr>
        <w:t>注册编号</w:t>
      </w:r>
      <w:r>
        <w:rPr>
          <w:rFonts w:ascii="宋体" w:hAnsi="宋体"/>
          <w:color w:val="333333"/>
          <w:sz w:val="28"/>
        </w:rPr>
        <w:t>：</w:t>
      </w:r>
      <w:r>
        <w:rPr>
          <w:rFonts w:ascii="宋体" w:hAnsi="宋体"/>
          <w:color w:val="333333"/>
          <w:sz w:val="28"/>
          <w:lang w:val="en-US" w:eastAsia="zh-CN"/>
        </w:rPr>
        <w:t>20082100993</w:t>
      </w:r>
    </w:p>
    <w:p>
      <w:pPr>
        <w:keepNext w:val="0"/>
        <w:keepLines w:val="0"/>
        <w:widowControl/>
        <w:shd w:val="clear" w:color="auto" w:fill="FFFFFF"/>
        <w:bidi w:val="0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  <w:lang w:val="en-US" w:eastAsia="zh-CN"/>
        </w:rPr>
        <w:t>企业资格业绩：裕米生物科技有限公司150万吨/年玉米深加工项目（一起）玉米仓储净化设计项目</w:t>
      </w:r>
      <w:bookmarkStart w:id="1" w:name="_GoBack"/>
      <w:bookmarkEnd w:id="1"/>
    </w:p>
    <w:p>
      <w:pPr>
        <w:keepNext w:val="0"/>
        <w:keepLines w:val="0"/>
        <w:widowControl/>
        <w:shd w:val="clear" w:color="auto" w:fill="FFFFFF"/>
        <w:bidi w:val="0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公示期：自202</w:t>
      </w:r>
      <w:r>
        <w:rPr>
          <w:rFonts w:ascii="宋体" w:hAnsi="宋体"/>
          <w:color w:val="333333"/>
          <w:sz w:val="28"/>
          <w:lang w:val="en-US" w:eastAsia="zh-CN"/>
        </w:rPr>
        <w:t>5</w:t>
      </w:r>
      <w:r>
        <w:rPr>
          <w:rFonts w:ascii="宋体" w:hAnsi="宋体"/>
          <w:color w:val="333333"/>
          <w:sz w:val="28"/>
        </w:rPr>
        <w:t>年</w:t>
      </w:r>
      <w:r>
        <w:rPr>
          <w:rFonts w:ascii="宋体" w:hAnsi="宋体"/>
          <w:color w:val="333333"/>
          <w:sz w:val="28"/>
          <w:lang w:val="en-US" w:eastAsia="zh-CN"/>
        </w:rPr>
        <w:t>7</w:t>
      </w:r>
      <w:r>
        <w:rPr>
          <w:rFonts w:ascii="宋体" w:hAnsi="宋体"/>
          <w:color w:val="333333"/>
          <w:sz w:val="28"/>
        </w:rPr>
        <w:t>月</w:t>
      </w:r>
      <w:r>
        <w:rPr>
          <w:rFonts w:ascii="宋体" w:hAnsi="宋体"/>
          <w:color w:val="333333"/>
          <w:sz w:val="28"/>
          <w:lang w:val="en-US" w:eastAsia="zh-CN"/>
        </w:rPr>
        <w:t>15</w:t>
      </w:r>
      <w:r>
        <w:rPr>
          <w:rFonts w:ascii="宋体" w:hAnsi="宋体"/>
          <w:color w:val="333333"/>
          <w:sz w:val="28"/>
        </w:rPr>
        <w:t>日至202</w:t>
      </w:r>
      <w:r>
        <w:rPr>
          <w:rFonts w:ascii="宋体" w:hAnsi="宋体"/>
          <w:color w:val="333333"/>
          <w:sz w:val="28"/>
          <w:lang w:val="en-US" w:eastAsia="zh-CN"/>
        </w:rPr>
        <w:t>5</w:t>
      </w:r>
      <w:r>
        <w:rPr>
          <w:rFonts w:ascii="宋体" w:hAnsi="宋体"/>
          <w:color w:val="333333"/>
          <w:sz w:val="28"/>
        </w:rPr>
        <w:t>年</w:t>
      </w:r>
      <w:r>
        <w:rPr>
          <w:rFonts w:ascii="宋体" w:hAnsi="宋体"/>
          <w:color w:val="333333"/>
          <w:sz w:val="28"/>
          <w:lang w:val="en-US" w:eastAsia="zh-CN"/>
        </w:rPr>
        <w:t>7</w:t>
      </w:r>
      <w:r>
        <w:rPr>
          <w:rFonts w:ascii="宋体" w:hAnsi="宋体"/>
          <w:color w:val="333333"/>
          <w:sz w:val="28"/>
        </w:rPr>
        <w:t>月</w:t>
      </w:r>
      <w:r>
        <w:rPr>
          <w:rFonts w:ascii="宋体" w:hAnsi="宋体"/>
          <w:color w:val="333333"/>
          <w:sz w:val="28"/>
          <w:lang w:val="en-US" w:eastAsia="zh-CN"/>
        </w:rPr>
        <w:t>18</w:t>
      </w:r>
      <w:r>
        <w:rPr>
          <w:rFonts w:ascii="宋体" w:hAnsi="宋体"/>
          <w:color w:val="333333"/>
          <w:sz w:val="28"/>
        </w:rPr>
        <w:t>日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二、评标情况简述：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1、评标方法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本次评标采用综合</w:t>
      </w:r>
      <w:r>
        <w:rPr>
          <w:rFonts w:ascii="宋体" w:hAnsi="宋体"/>
          <w:color w:val="333333"/>
          <w:sz w:val="28"/>
          <w:lang w:val="en-US" w:eastAsia="zh-CN"/>
        </w:rPr>
        <w:t>评估</w:t>
      </w:r>
      <w:r>
        <w:rPr>
          <w:rFonts w:ascii="宋体" w:hAnsi="宋体"/>
          <w:color w:val="333333"/>
          <w:sz w:val="28"/>
        </w:rPr>
        <w:t>法，评标委员会对满足招标文件实质性要求的投标文件，按照招标文件规定的评分标准进行打分，并按得分由高到低顺序推荐</w:t>
      </w:r>
      <w:r>
        <w:rPr>
          <w:rFonts w:ascii="宋体" w:hAnsi="宋体"/>
          <w:color w:val="333333"/>
          <w:sz w:val="28"/>
          <w:lang w:val="en-US" w:eastAsia="zh-CN"/>
        </w:rPr>
        <w:t>2</w:t>
      </w:r>
      <w:r>
        <w:rPr>
          <w:rFonts w:ascii="宋体" w:hAnsi="宋体"/>
          <w:color w:val="333333"/>
          <w:sz w:val="28"/>
        </w:rPr>
        <w:t>名中标候选人。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  <w:lang w:val="en-US" w:eastAsia="zh-CN"/>
        </w:rPr>
        <w:t>2、</w:t>
      </w:r>
      <w:r>
        <w:rPr>
          <w:rFonts w:ascii="宋体" w:hAnsi="宋体"/>
          <w:color w:val="333333"/>
          <w:sz w:val="28"/>
        </w:rPr>
        <w:t>否决投标情况说明：</w:t>
      </w:r>
      <w:r>
        <w:rPr>
          <w:rFonts w:ascii="宋体" w:hAnsi="宋体"/>
          <w:color w:val="333333"/>
          <w:sz w:val="28"/>
          <w:lang w:val="en-US" w:eastAsia="zh-CN"/>
        </w:rPr>
        <w:t>无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3、其它情况说明：无。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招标投标相关各方对上述结果有异议，可在公示期内以书面形式向招标人或招标代理机构提出。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三、书面异议材料应当包括以下内容：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（一）异议人名称、地址和有效联系方式；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（二）被异议人名称；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（三）异议事项的基本事实；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（四）相关请求及主张；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（五）有效线索和相关证明材料。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书面异议材料必须符合上述要求，且由其法定代表人签字并加盖公章，并附法定代表人及其委托联系人的有效身份证复印件，否则不予接收。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四、异议材料有下列情形的亦不予接收：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（一）异议材料不完整的；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（二）异议事项含有主观猜测等内容且无充分有效证据的；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（三）对其他投标人的投标文件详细内容异议，无法提供合法来源渠道的。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异议人不得以异议为名进行虚假、恶意异议，干扰招标投标活动的正常进行。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对于提供虚假材料，以异议为名谋取中标或恶意异议扰乱招标工作秩序的，将报请行政监管部门处理。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如公示期内无有效异议，本评审结果即为确定中标人的依据。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特此公示。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招标人：</w:t>
      </w:r>
      <w:r>
        <w:rPr>
          <w:rFonts w:ascii="宋体" w:hAnsi="宋体"/>
          <w:color w:val="333333"/>
          <w:sz w:val="28"/>
          <w:lang w:eastAsia="zh-CN"/>
        </w:rPr>
        <w:t>中粮生物科技股份有限公司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地址： 安徽省蚌埠市淮上区沫河口工业园区开源大道99号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  <w:lang w:val="en-US" w:eastAsia="zh-CN"/>
        </w:rPr>
      </w:pPr>
      <w:r>
        <w:rPr>
          <w:rFonts w:ascii="宋体" w:hAnsi="宋体"/>
          <w:color w:val="333333"/>
          <w:sz w:val="28"/>
        </w:rPr>
        <w:t>电话：</w:t>
      </w:r>
      <w:r>
        <w:rPr>
          <w:rFonts w:ascii="宋体" w:hAnsi="宋体"/>
          <w:color w:val="333333"/>
          <w:sz w:val="28"/>
          <w:lang w:val="en-US" w:eastAsia="zh-CN"/>
        </w:rPr>
        <w:t>13855230718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招标代理机构：安徽省招标集团股份有限公司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地址：合肥市</w:t>
      </w:r>
      <w:r>
        <w:rPr>
          <w:rFonts w:ascii="宋体" w:hAnsi="宋体"/>
          <w:color w:val="333333"/>
          <w:sz w:val="28"/>
          <w:lang w:val="en-US" w:eastAsia="zh-CN"/>
        </w:rPr>
        <w:t>包河区紫云路888</w:t>
      </w:r>
      <w:r>
        <w:rPr>
          <w:rFonts w:ascii="宋体" w:hAnsi="宋体"/>
          <w:color w:val="333333"/>
          <w:sz w:val="28"/>
        </w:rPr>
        <w:t>号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异议接收联系电话：0551-62220155</w:t>
      </w: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</w:p>
    <w:p>
      <w:pPr>
        <w:shd w:val="clear" w:color="auto" w:fill="FFFFFF"/>
        <w:spacing w:beforeAutospacing="0" w:afterAutospacing="0" w:line="360" w:lineRule="auto"/>
        <w:ind w:firstLine="560"/>
        <w:jc w:val="left"/>
        <w:rPr>
          <w:rFonts w:ascii="宋体" w:hAnsi="宋体"/>
          <w:color w:val="333333"/>
          <w:sz w:val="28"/>
        </w:rPr>
      </w:pPr>
      <w:r>
        <w:rPr>
          <w:rFonts w:ascii="宋体" w:hAnsi="宋体"/>
          <w:color w:val="333333"/>
          <w:sz w:val="28"/>
        </w:rPr>
        <w:t>本公示同时在中国招标投标公共服务平台（http://www.cebpubservice.com/)、中粮E采供应链采购平台（网址：https://ecai.cofco.com/web-portal/index.html#/home）发布。</w:t>
      </w:r>
      <w:bookmarkEnd w:id="0"/>
    </w:p>
    <w:sectPr>
      <w:type w:val="nextPage"/>
      <w:pgSz w:w="11907" w:h="16840"/>
      <w:pgMar w:top="1247" w:right="1247" w:bottom="1247" w:left="1247" w:header="851" w:footer="992"/>
      <w:cols w:space="720" w:equalWidt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B493E55"/>
    <w:multiLevelType w:val="multilevel"/>
    <w:tmpl w:val="00000000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upperLetter"/>
      <w:lvlText w:val="%2、"/>
      <w:lvlJc w:val="left"/>
      <w:pPr>
        <w:ind w:left="825" w:hanging="405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docVars>
    <w:docVar w:name="commondata" w:val="eyJoZGlkIjoiNDM4ZGNmMTA2ZmQxYzRmYmI0NTQ5ZDVjNjczMjVjNDYifQ==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宋体" w:hAnsi="宋体"/>
        <w:b w:val="0"/>
        <w:i w:val="0"/>
        <w:caps w:val="0"/>
        <w:smallCaps w:val="0"/>
        <w:strike w:val="0"/>
        <w:noProof w:val="0"/>
        <w:vanish w:val="0"/>
        <w:color w:val="auto"/>
        <w:sz w:val="20"/>
        <w:u w:val="none"/>
        <w:shd w:val="clear" w:color="auto" w:fill="auto"/>
        <w:vertAlign w:val="baseline"/>
        <w:lang w:val="en-US" w:eastAsia="en-US" w:bidi="ar-SA"/>
      </w:rPr>
    </w:rPrDefault>
    <w:pPrDefault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center"/>
    </w:pPr>
    <w:rPr>
      <w:rFonts w:ascii="宋体" w:hAnsi="宋体"/>
      <w:sz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widowControl w:val="0"/>
      <w:numPr>
        <w:ilvl w:val="1"/>
        <w:numId w:val="1"/>
      </w:numPr>
      <w:outlineLvl w:val="0"/>
    </w:pPr>
    <w:rPr>
      <w:sz w:val="32"/>
    </w:rPr>
  </w:style>
  <w:style w:type="paragraph" w:styleId="Heading2">
    <w:name w:val="heading 2"/>
    <w:basedOn w:val="Normal"/>
    <w:next w:val="Normal"/>
    <w:qFormat/>
    <w:pPr>
      <w:keepNext/>
      <w:spacing w:before="300" w:beforeAutospacing="0" w:after="300" w:afterAutospacing="0" w:line="160" w:lineRule="exact"/>
      <w:ind w:left="-108" w:right="-103" w:hanging="108"/>
      <w:jc w:val="center"/>
      <w:outlineLvl w:val="1"/>
    </w:pPr>
    <w:rPr>
      <w:b/>
      <w:sz w:val="30"/>
    </w:rPr>
  </w:style>
  <w:style w:type="paragraph" w:styleId="Heading4">
    <w:name w:val="heading 4"/>
    <w:basedOn w:val="Normal"/>
    <w:next w:val="Normal"/>
    <w:qFormat/>
    <w:pPr>
      <w:keepNext/>
      <w:keepLines/>
      <w:spacing w:before="280" w:beforeAutospacing="0" w:after="290" w:afterAutospacing="0" w:line="376" w:lineRule="auto"/>
      <w:outlineLvl w:val="3"/>
    </w:pPr>
    <w:rPr>
      <w:rFonts w:ascii="Arial" w:hAnsi="Arial"/>
      <w:b/>
      <w:sz w:val="28"/>
    </w:rPr>
  </w:style>
  <w:style w:type="paragraph" w:styleId="Heading5">
    <w:name w:val="heading 5"/>
    <w:basedOn w:val="Normal"/>
    <w:next w:val="Normal"/>
    <w:qFormat/>
    <w:pPr>
      <w:keepNext/>
      <w:widowControl w:val="0"/>
      <w:spacing w:beforeAutospacing="0" w:afterAutospacing="0" w:line="360" w:lineRule="exact"/>
      <w:ind w:left="-108" w:right="-108"/>
      <w:jc w:val="center"/>
      <w:outlineLvl w:val="4"/>
    </w:pPr>
    <w:rPr>
      <w:b/>
      <w:sz w:val="32"/>
    </w:rPr>
  </w:style>
  <w:style w:type="paragraph" w:styleId="Heading7">
    <w:name w:val="heading 7"/>
    <w:basedOn w:val="Normal"/>
    <w:next w:val="Normal"/>
    <w:qFormat/>
    <w:pPr>
      <w:keepNext/>
      <w:keepLines/>
      <w:spacing w:before="240" w:beforeAutospacing="0" w:after="64" w:afterAutospacing="0" w:line="320" w:lineRule="auto"/>
      <w:outlineLvl w:val="6"/>
    </w:pPr>
    <w:rPr>
      <w:b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losing">
    <w:name w:val="Closing"/>
    <w:basedOn w:val="Normal"/>
    <w:qFormat/>
    <w:pPr>
      <w:widowControl w:val="0"/>
      <w:ind w:left="100"/>
      <w:jc w:val="both"/>
    </w:pPr>
    <w:rPr>
      <w:sz w:val="28"/>
    </w:rPr>
  </w:style>
  <w:style w:type="paragraph" w:styleId="BodyTextIndent">
    <w:name w:val="Body Text Indent"/>
    <w:basedOn w:val="Normal"/>
    <w:qFormat/>
    <w:pPr>
      <w:widowControl w:val="0"/>
      <w:spacing w:before="60" w:beforeAutospacing="0" w:after="60" w:afterAutospacing="0"/>
      <w:jc w:val="center"/>
    </w:pPr>
    <w:rPr>
      <w:rFonts w:ascii="宋体" w:hAnsi="宋体"/>
    </w:rPr>
  </w:style>
  <w:style w:type="paragraph" w:styleId="PlainText">
    <w:name w:val="Plain Text"/>
    <w:basedOn w:val="Normal"/>
    <w:qFormat/>
    <w:pPr>
      <w:widowControl w:val="0"/>
      <w:jc w:val="both"/>
    </w:pPr>
    <w:rPr>
      <w:rFonts w:ascii="宋体" w:hAnsi="宋体"/>
      <w:sz w:val="21"/>
    </w:rPr>
  </w:style>
  <w:style w:type="paragraph" w:styleId="Date">
    <w:name w:val="Date"/>
    <w:basedOn w:val="Normal"/>
    <w:next w:val="Normal"/>
    <w:qFormat/>
    <w:pPr>
      <w:ind w:left="100"/>
    </w:pPr>
  </w:style>
  <w:style w:type="paragraph" w:styleId="BalloonText">
    <w:name w:val="Balloon Text"/>
    <w:basedOn w:val="Normal"/>
    <w:qFormat/>
    <w:rPr>
      <w:sz w:val="18"/>
    </w:rPr>
  </w:style>
  <w:style w:type="paragraph" w:styleId="Footer">
    <w:name w:val="footer"/>
    <w:basedOn w:val="Normal"/>
    <w:qFormat/>
    <w:pPr>
      <w:widowControl w:val="0"/>
      <w:tabs>
        <w:tab w:val="center" w:pos="4153"/>
        <w:tab w:val="right" w:pos="8306"/>
      </w:tabs>
    </w:pPr>
    <w:rPr>
      <w:sz w:val="18"/>
    </w:rPr>
  </w:style>
  <w:style w:type="paragraph" w:styleId="Header">
    <w:name w:val="header"/>
    <w:basedOn w:val="Normal"/>
    <w:qFormat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</w:rPr>
  </w:style>
  <w:style w:type="paragraph" w:styleId="BodyTextIndent3">
    <w:name w:val="Body Text Indent 3"/>
    <w:basedOn w:val="Normal"/>
    <w:qFormat/>
    <w:pPr>
      <w:widowControl w:val="0"/>
      <w:ind w:left="904" w:firstLine="1"/>
      <w:jc w:val="both"/>
    </w:pPr>
    <w:rPr>
      <w:sz w:val="30"/>
    </w:rPr>
  </w:style>
  <w:style w:type="paragraph" w:styleId="NormalWeb">
    <w:name w:val="Normal (Web)"/>
    <w:basedOn w:val="Normal"/>
    <w:qFormat/>
    <w:pPr>
      <w:spacing w:before="100" w:beforeAutospacing="1" w:after="100" w:afterAutospacing="1"/>
      <w:ind w:left="0" w:right="0"/>
      <w:jc w:val="left"/>
    </w:pPr>
    <w:rPr>
      <w:sz w:val="24"/>
      <w:lang w:val="en-US" w:eastAsia="zh-CN" w:bidi="ar"/>
    </w:rPr>
  </w:style>
  <w:style w:type="paragraph" w:customStyle="1" w:styleId="tll">
    <w:name w:val="tll"/>
    <w:basedOn w:val="Normal"/>
    <w:qFormat/>
    <w:pPr>
      <w:widowControl w:val="0"/>
      <w:jc w:val="both"/>
    </w:pPr>
    <w:rPr>
      <w:rFonts w:ascii="宋体" w:hAnsi="宋体"/>
      <w:sz w:val="21"/>
    </w:rPr>
  </w:style>
  <w:style w:type="paragraph" w:customStyle="1" w:styleId="Char2">
    <w:name w:val=" Char2"/>
    <w:basedOn w:val="Normal"/>
    <w:qFormat/>
    <w:pPr>
      <w:widowControl w:val="0"/>
      <w:jc w:val="both"/>
    </w:pPr>
    <w:rPr>
      <w:rFonts w:ascii="Arial" w:hAnsi="Arial"/>
      <w:sz w:val="21"/>
    </w:rPr>
  </w:style>
  <w:style w:type="paragraph" w:customStyle="1" w:styleId="Char">
    <w:name w:val=" Char"/>
    <w:basedOn w:val="Normal"/>
    <w:qFormat/>
    <w:pPr>
      <w:widowControl w:val="0"/>
      <w:jc w:val="both"/>
    </w:pPr>
    <w:rPr>
      <w:rFonts w:ascii="Arial" w:hAnsi="Arial"/>
      <w:sz w:val="21"/>
    </w:rPr>
  </w:style>
  <w:style w:type="paragraph" w:customStyle="1" w:styleId="CharCharChar2Char">
    <w:name w:val=" Char Char Char2 Char"/>
    <w:basedOn w:val="Normal"/>
    <w:qFormat/>
    <w:pPr>
      <w:spacing w:beforeAutospacing="0" w:after="160" w:afterAutospacing="0" w:line="240" w:lineRule="exact"/>
    </w:pPr>
    <w:rPr>
      <w:rFonts w:ascii="宋体" w:hAnsi="宋体"/>
      <w:lang w:eastAsia="en-US"/>
    </w:rPr>
  </w:style>
  <w:style w:type="character" w:styleId="Hyperlink">
    <w:name w:val="Hyperlink"/>
    <w:qFormat/>
    <w:rPr>
      <w:color w:val="333333"/>
      <w:u w:val="none"/>
    </w:rPr>
  </w:style>
  <w:style w:type="character" w:styleId="Strong">
    <w:name w:val="Strong"/>
    <w:qFormat/>
    <w:rPr>
      <w:b/>
    </w:rPr>
  </w:style>
  <w:style w:type="character" w:styleId="PageNumber">
    <w:name w:val="page number"/>
    <w:qFormat/>
  </w:style>
  <w:style w:type="character" w:styleId="FollowedHyperlink">
    <w:name w:val="FollowedHyperlink"/>
    <w:qFormat/>
    <w:rPr>
      <w:color w:val="333333"/>
      <w:u w:val="none"/>
    </w:rPr>
  </w:style>
  <w:style w:type="character" w:styleId="Emphasis">
    <w:name w:val="Emphasis"/>
    <w:qFormat/>
  </w:style>
  <w:style w:type="character" w:customStyle="1" w:styleId="a">
    <w:name w:val="纯文本 字符"/>
    <w:qFormat/>
    <w:rPr>
      <w:rFonts w:ascii="宋体" w:hAnsi="宋体"/>
      <w:sz w:val="21"/>
    </w:rPr>
  </w:style>
  <w:style w:type="character" w:customStyle="1" w:styleId="a0">
    <w:name w:val="批注框文本 字符"/>
    <w:qFormat/>
    <w:rPr>
      <w:sz w:val="18"/>
    </w:rPr>
  </w:style>
  <w:style w:type="character" w:customStyle="1" w:styleId="w4">
    <w:name w:val="w4"/>
    <w:qFormat/>
  </w:style>
  <w:style w:type="character" w:customStyle="1" w:styleId="hover2">
    <w:name w:val="hover2"/>
    <w:qFormat/>
    <w:rPr>
      <w:color w:val="FF4800"/>
    </w:rPr>
  </w:style>
  <w:style w:type="character" w:customStyle="1" w:styleId="annotilteicon">
    <w:name w:val="annotilteicon"/>
    <w:qFormat/>
  </w:style>
  <w:style w:type="character" w:customStyle="1" w:styleId="blue1">
    <w:name w:val="blue1"/>
    <w:qFormat/>
    <w:rPr>
      <w:color w:val="0000FF"/>
    </w:rPr>
  </w:style>
  <w:style w:type="character" w:customStyle="1" w:styleId="companyname1">
    <w:name w:val="companyname1"/>
    <w:qFormat/>
    <w:rPr>
      <w:sz w:val="18"/>
    </w:rPr>
  </w:style>
  <w:style w:type="character" w:customStyle="1" w:styleId="focus">
    <w:name w:val="focus"/>
  </w:style>
  <w:style w:type="character" w:customStyle="1" w:styleId="showdetail">
    <w:name w:val="showdetail"/>
    <w:rPr>
      <w:color w:val="333333"/>
    </w:rPr>
  </w:style>
  <w:style w:type="character" w:customStyle="1" w:styleId="faith">
    <w:name w:val="faith"/>
    <w:rPr>
      <w:rFonts w:ascii="微软雅黑" w:hAnsi="微软雅黑"/>
      <w:color w:val="A9A9A9"/>
      <w:sz w:val="27"/>
    </w:rPr>
  </w:style>
  <w:style w:type="character" w:customStyle="1" w:styleId="w12">
    <w:name w:val="w12"/>
  </w:style>
  <w:style w:type="character" w:customStyle="1" w:styleId="annotilteicon1">
    <w:name w:val="annotilteicon1"/>
  </w:style>
  <w:style w:type="character" w:customStyle="1" w:styleId="num2">
    <w:name w:val="num2"/>
    <w:rPr>
      <w:sz w:val="18"/>
    </w:rPr>
  </w:style>
  <w:style w:type="character" w:customStyle="1" w:styleId="page">
    <w:name w:val="page"/>
    <w:rPr>
      <w:color w:val="666666"/>
    </w:rPr>
  </w:style>
  <w:style w:type="character" w:customStyle="1" w:styleId="opcity">
    <w:name w:val="opcity"/>
    <w:rPr>
      <w:rFonts w:ascii="微软雅黑" w:hAnsi="微软雅黑"/>
      <w:color w:val="A9A9A9"/>
      <w:sz w:val="27"/>
    </w:rPr>
  </w:style>
  <w:style w:type="character" w:customStyle="1" w:styleId="light">
    <w:name w:val="light"/>
    <w:rPr>
      <w:color w:val="888888"/>
    </w:rPr>
  </w:style>
  <w:style w:type="character" w:customStyle="1" w:styleId="w52">
    <w:name w:val="w52"/>
    <w:qFormat/>
  </w:style>
  <w:style w:type="character" w:customStyle="1" w:styleId="onetleft9">
    <w:name w:val="onetleft9"/>
    <w:rPr>
      <w:color w:val="444444"/>
      <w:sz w:val="24"/>
    </w:rPr>
  </w:style>
  <w:style w:type="character" w:customStyle="1" w:styleId="text1">
    <w:name w:val="text1"/>
    <w:rPr>
      <w:color w:val="333333"/>
      <w:sz w:val="24"/>
    </w:rPr>
  </w:style>
  <w:style w:type="character" w:customStyle="1" w:styleId="annoprevtilteicon">
    <w:name w:val="annoprevtilteicon"/>
  </w:style>
  <w:style w:type="character" w:customStyle="1" w:styleId="first-child">
    <w:name w:val="first-child"/>
  </w:style>
  <w:style w:type="character" w:customStyle="1" w:styleId="w22">
    <w:name w:val="w22"/>
  </w:style>
  <w:style w:type="character" w:customStyle="1" w:styleId="comname3">
    <w:name w:val="comname3"/>
  </w:style>
  <w:style w:type="character" w:customStyle="1" w:styleId="supplycolor4">
    <w:name w:val="supplycolor4"/>
  </w:style>
  <w:style w:type="character" w:customStyle="1" w:styleId="supplyblue2">
    <w:name w:val="supplyblue2"/>
    <w:rPr>
      <w:color w:val="2E82FF"/>
      <w:sz w:val="21"/>
    </w:rPr>
  </w:style>
  <w:style w:type="character" w:customStyle="1" w:styleId="comlogo">
    <w:name w:val="comlogo"/>
  </w:style>
  <w:style w:type="character" w:customStyle="1" w:styleId="companyname">
    <w:name w:val="companyname"/>
    <w:rPr>
      <w:color w:val="B1B1B1"/>
      <w:sz w:val="18"/>
    </w:rPr>
  </w:style>
  <w:style w:type="character" w:customStyle="1" w:styleId="onetright6">
    <w:name w:val="onetright6"/>
    <w:rPr>
      <w:color w:val="A9A9A9"/>
    </w:rPr>
  </w:style>
  <w:style w:type="character" w:customStyle="1" w:styleId="w32">
    <w:name w:val="w32"/>
  </w:style>
  <w:style w:type="character" w:customStyle="1" w:styleId="text">
    <w:name w:val="text"/>
    <w:rPr>
      <w:rFonts w:ascii="微软雅黑" w:hAnsi="微软雅黑"/>
      <w:color w:val="4A4A4A"/>
      <w:sz w:val="27"/>
    </w:rPr>
  </w:style>
  <w:style w:type="character" w:customStyle="1" w:styleId="current">
    <w:name w:val="current"/>
    <w:rPr>
      <w:color w:val="DDDDDD"/>
    </w:rPr>
  </w:style>
  <w:style w:type="character" w:customStyle="1" w:styleId="annoprevtilteicon1">
    <w:name w:val="annoprevtilteicon1"/>
  </w:style>
  <w:style w:type="character" w:customStyle="1" w:styleId="iconthree">
    <w:name w:val="iconthree"/>
  </w:style>
  <w:style w:type="character" w:customStyle="1" w:styleId="onetleft8">
    <w:name w:val="onetleft8"/>
  </w:style>
  <w:style w:type="character" w:customStyle="1" w:styleId="hover1">
    <w:name w:val="hover1"/>
    <w:rPr>
      <w:color w:val="FF5400"/>
    </w:rPr>
  </w:style>
  <w:style w:type="character" w:customStyle="1" w:styleId="batle">
    <w:name w:val="batle"/>
    <w:rPr>
      <w:rFonts w:ascii="微软雅黑" w:hAnsi="微软雅黑"/>
      <w:color w:val="A9A9A9"/>
      <w:sz w:val="27"/>
    </w:rPr>
  </w:style>
  <w:style w:type="character" w:customStyle="1" w:styleId="yiguanzhu2">
    <w:name w:val="yiguanzhu2"/>
  </w:style>
  <w:style w:type="character" w:customStyle="1" w:styleId="tabindexmes">
    <w:name w:val="tabindexmes"/>
    <w:qFormat/>
    <w:rPr>
      <w:sz w:val="18"/>
      <w:shd w:val="clear" w:color="auto" w:fill="F8F7F7"/>
    </w:rPr>
  </w:style>
  <w:style w:type="character" w:customStyle="1" w:styleId="time">
    <w:name w:val="time"/>
    <w:rPr>
      <w:sz w:val="18"/>
    </w:rPr>
  </w:style>
  <w:style w:type="character" w:customStyle="1" w:styleId="red1">
    <w:name w:val="red1"/>
    <w:rPr>
      <w:color w:val="FF0000"/>
    </w:rPr>
  </w:style>
  <w:style w:type="character" w:customStyle="1" w:styleId="blue">
    <w:name w:val="blue"/>
    <w:rPr>
      <w:color w:val="2E82FF"/>
    </w:rPr>
  </w:style>
  <w:style w:type="character" w:customStyle="1" w:styleId="questitle">
    <w:name w:val="questitle"/>
    <w:rPr>
      <w:color w:val="ABABAB"/>
    </w:rPr>
  </w:style>
  <w:style w:type="character" w:customStyle="1" w:styleId="showdetail1">
    <w:name w:val="showdetail1"/>
    <w:rPr>
      <w:color w:val="FFFFFF"/>
      <w:shd w:val="clear" w:color="auto" w:fill="FF5400"/>
    </w:rPr>
  </w:style>
  <w:style w:type="character" w:customStyle="1" w:styleId="showbgsupdark">
    <w:name w:val="showbgsupdark"/>
    <w:rPr>
      <w:b/>
      <w:sz w:val="21"/>
      <w:shd w:val="clear" w:color="auto" w:fill="4960A5"/>
    </w:rPr>
  </w:style>
  <w:style w:type="character" w:customStyle="1" w:styleId="ques">
    <w:name w:val="ques"/>
    <w:rPr>
      <w:color w:val="AAAAAA"/>
    </w:rPr>
  </w:style>
  <w:style w:type="character" w:customStyle="1" w:styleId="commonred5">
    <w:name w:val="commonred5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anose="020F0302020204030204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 panose="020F0502020204030204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明朝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cp:lastPrinted>2025-07-15T08:33:07Z</cp:lastPrinted>
  <dcterms:created xsi:type="dcterms:W3CDTF">2025-07-15T16:33:12Z</dcterms:created>
  <dcterms:modified xsi:type="dcterms:W3CDTF">2025-07-15T16:33:12Z</dcterms:modified>
</cp:coreProperties>
</file>